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61" w:rsidRDefault="00DB5B61" w:rsidP="00DB5B61">
      <w:pPr>
        <w:spacing w:line="360" w:lineRule="auto"/>
        <w:ind w:left="-360" w:right="-360"/>
        <w:jc w:val="center"/>
        <w:rPr>
          <w:b/>
          <w:bCs/>
          <w:i/>
          <w:iCs/>
          <w:sz w:val="30"/>
          <w:szCs w:val="30"/>
        </w:rPr>
      </w:pPr>
    </w:p>
    <w:p w:rsidR="00DB5B61" w:rsidRDefault="00DB5B61" w:rsidP="00DB5B61">
      <w:pPr>
        <w:jc w:val="center"/>
        <w:rPr>
          <w:b/>
          <w:bCs/>
          <w:i/>
          <w:iCs/>
        </w:rPr>
      </w:pPr>
    </w:p>
    <w:p w:rsidR="00DB5B61" w:rsidRDefault="00DB5B61" w:rsidP="00DB5B61">
      <w:pPr>
        <w:jc w:val="center"/>
        <w:rPr>
          <w:b/>
          <w:bCs/>
          <w:i/>
          <w:iCs/>
        </w:rPr>
      </w:pPr>
    </w:p>
    <w:p w:rsidR="00C75AB9" w:rsidRDefault="001A00C1" w:rsidP="006025BB">
      <w:pPr>
        <w:spacing w:line="480" w:lineRule="auto"/>
        <w:jc w:val="center"/>
        <w:rPr>
          <w:b/>
          <w:bCs/>
          <w:i/>
          <w:iCs/>
          <w:sz w:val="36"/>
          <w:szCs w:val="36"/>
        </w:rPr>
      </w:pPr>
      <w:r w:rsidRPr="006025BB">
        <w:rPr>
          <w:b/>
          <w:bCs/>
          <w:i/>
          <w:iCs/>
          <w:sz w:val="36"/>
          <w:szCs w:val="36"/>
        </w:rPr>
        <w:t xml:space="preserve">The </w:t>
      </w:r>
      <w:r w:rsidR="00C75AB9">
        <w:rPr>
          <w:b/>
          <w:bCs/>
          <w:i/>
          <w:iCs/>
          <w:sz w:val="36"/>
          <w:szCs w:val="36"/>
        </w:rPr>
        <w:t xml:space="preserve">Law for Development of </w:t>
      </w:r>
    </w:p>
    <w:p w:rsidR="00C75AB9" w:rsidRDefault="00C75AB9" w:rsidP="00C75AB9">
      <w:pPr>
        <w:spacing w:line="480" w:lineRule="auto"/>
        <w:jc w:val="center"/>
        <w:rPr>
          <w:b/>
          <w:bCs/>
          <w:i/>
          <w:iCs/>
          <w:sz w:val="36"/>
          <w:szCs w:val="36"/>
        </w:rPr>
      </w:pPr>
      <w:r>
        <w:rPr>
          <w:b/>
          <w:bCs/>
          <w:i/>
          <w:iCs/>
          <w:sz w:val="36"/>
          <w:szCs w:val="36"/>
        </w:rPr>
        <w:t xml:space="preserve">New Financial Instruments and Institutions </w:t>
      </w:r>
    </w:p>
    <w:p w:rsidR="00C75AB9" w:rsidRPr="00C75AB9" w:rsidRDefault="00C75AB9" w:rsidP="003D106A">
      <w:pPr>
        <w:spacing w:line="480" w:lineRule="auto"/>
        <w:jc w:val="center"/>
        <w:rPr>
          <w:b/>
          <w:bCs/>
          <w:i/>
          <w:iCs/>
          <w:sz w:val="26"/>
          <w:szCs w:val="26"/>
        </w:rPr>
      </w:pPr>
      <w:r w:rsidRPr="00C75AB9">
        <w:rPr>
          <w:b/>
          <w:bCs/>
          <w:i/>
          <w:iCs/>
          <w:sz w:val="26"/>
          <w:szCs w:val="26"/>
        </w:rPr>
        <w:t>(</w:t>
      </w:r>
      <w:r w:rsidR="003F616F">
        <w:rPr>
          <w:b/>
          <w:bCs/>
          <w:i/>
          <w:iCs/>
          <w:sz w:val="26"/>
          <w:szCs w:val="26"/>
        </w:rPr>
        <w:t>Based</w:t>
      </w:r>
      <w:r w:rsidR="0050490B">
        <w:rPr>
          <w:b/>
          <w:bCs/>
          <w:i/>
          <w:iCs/>
          <w:sz w:val="26"/>
          <w:szCs w:val="26"/>
        </w:rPr>
        <w:t xml:space="preserve"> on</w:t>
      </w:r>
      <w:r w:rsidRPr="00C75AB9">
        <w:rPr>
          <w:b/>
          <w:bCs/>
          <w:i/>
          <w:iCs/>
          <w:sz w:val="26"/>
          <w:szCs w:val="26"/>
        </w:rPr>
        <w:t xml:space="preserve"> overall policies of </w:t>
      </w:r>
      <w:r w:rsidR="003D106A">
        <w:rPr>
          <w:b/>
          <w:bCs/>
          <w:i/>
          <w:iCs/>
          <w:sz w:val="26"/>
          <w:szCs w:val="26"/>
        </w:rPr>
        <w:t>principle</w:t>
      </w:r>
      <w:r w:rsidRPr="00C75AB9">
        <w:rPr>
          <w:b/>
          <w:bCs/>
          <w:i/>
          <w:iCs/>
          <w:sz w:val="26"/>
          <w:szCs w:val="26"/>
        </w:rPr>
        <w:t xml:space="preserve"> 44 of the </w:t>
      </w:r>
      <w:r w:rsidR="0050490B">
        <w:rPr>
          <w:b/>
          <w:bCs/>
          <w:i/>
          <w:iCs/>
          <w:sz w:val="26"/>
          <w:szCs w:val="26"/>
        </w:rPr>
        <w:t>C</w:t>
      </w:r>
      <w:r w:rsidRPr="00C75AB9">
        <w:rPr>
          <w:b/>
          <w:bCs/>
          <w:i/>
          <w:iCs/>
          <w:sz w:val="26"/>
          <w:szCs w:val="26"/>
        </w:rPr>
        <w:t xml:space="preserve">onstitution) </w:t>
      </w:r>
    </w:p>
    <w:p w:rsidR="005E2B6C" w:rsidRDefault="005E2B6C" w:rsidP="001A00C1">
      <w:pPr>
        <w:spacing w:line="360" w:lineRule="auto"/>
        <w:ind w:left="1080" w:hanging="1080"/>
        <w:jc w:val="both"/>
        <w:rPr>
          <w:rFonts w:ascii="Century Gothic" w:hAnsi="Century Gothic"/>
          <w:b/>
          <w:bCs/>
          <w:sz w:val="22"/>
          <w:szCs w:val="22"/>
        </w:rPr>
      </w:pPr>
    </w:p>
    <w:p w:rsidR="001A00C1" w:rsidRDefault="001A00C1" w:rsidP="001A00C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1: </w:t>
      </w:r>
    </w:p>
    <w:p w:rsidR="00F04484" w:rsidRDefault="001A00C1" w:rsidP="006D647E">
      <w:pPr>
        <w:spacing w:line="360" w:lineRule="auto"/>
        <w:jc w:val="both"/>
        <w:rPr>
          <w:rFonts w:ascii="Century Gothic" w:hAnsi="Century Gothic"/>
          <w:sz w:val="22"/>
          <w:szCs w:val="22"/>
        </w:rPr>
      </w:pPr>
      <w:r>
        <w:rPr>
          <w:rFonts w:ascii="Century Gothic" w:hAnsi="Century Gothic"/>
          <w:sz w:val="22"/>
          <w:szCs w:val="22"/>
        </w:rPr>
        <w:t xml:space="preserve">The </w:t>
      </w:r>
      <w:r w:rsidR="006D647E">
        <w:rPr>
          <w:rFonts w:ascii="Century Gothic" w:hAnsi="Century Gothic"/>
          <w:sz w:val="22"/>
          <w:szCs w:val="22"/>
        </w:rPr>
        <w:t xml:space="preserve">following definitions shall apply for the purposes of the terms and phrases used herein: </w:t>
      </w:r>
    </w:p>
    <w:p w:rsidR="006D647E" w:rsidRDefault="006D647E" w:rsidP="003D106A">
      <w:pPr>
        <w:numPr>
          <w:ilvl w:val="0"/>
          <w:numId w:val="12"/>
        </w:numPr>
        <w:spacing w:line="360" w:lineRule="auto"/>
        <w:jc w:val="both"/>
        <w:rPr>
          <w:rFonts w:ascii="Century Gothic" w:hAnsi="Century Gothic"/>
          <w:sz w:val="22"/>
          <w:szCs w:val="22"/>
        </w:rPr>
      </w:pPr>
      <w:r w:rsidRPr="006D647E">
        <w:rPr>
          <w:rFonts w:ascii="Century Gothic" w:hAnsi="Century Gothic"/>
          <w:b/>
          <w:bCs/>
          <w:sz w:val="22"/>
          <w:szCs w:val="22"/>
        </w:rPr>
        <w:t xml:space="preserve">Investment </w:t>
      </w:r>
      <w:r w:rsidR="008A3926">
        <w:rPr>
          <w:rFonts w:ascii="Century Gothic" w:hAnsi="Century Gothic"/>
          <w:b/>
          <w:bCs/>
          <w:sz w:val="22"/>
          <w:szCs w:val="22"/>
        </w:rPr>
        <w:t>Unit</w:t>
      </w:r>
      <w:r>
        <w:rPr>
          <w:rFonts w:ascii="Century Gothic" w:hAnsi="Century Gothic"/>
          <w:sz w:val="22"/>
          <w:szCs w:val="22"/>
        </w:rPr>
        <w:t xml:space="preserve"> means the uniform securities issued by the mutual fund and shall, in return for the investments made by individuals/entities </w:t>
      </w:r>
      <w:r w:rsidR="00537E03">
        <w:rPr>
          <w:rFonts w:ascii="Century Gothic" w:hAnsi="Century Gothic"/>
          <w:sz w:val="22"/>
          <w:szCs w:val="22"/>
        </w:rPr>
        <w:t xml:space="preserve">in the fund, </w:t>
      </w:r>
      <w:r w:rsidR="0050490B">
        <w:rPr>
          <w:rFonts w:ascii="Century Gothic" w:hAnsi="Century Gothic"/>
          <w:sz w:val="22"/>
          <w:szCs w:val="22"/>
        </w:rPr>
        <w:t>b</w:t>
      </w:r>
      <w:r w:rsidR="00537E03">
        <w:rPr>
          <w:rFonts w:ascii="Century Gothic" w:hAnsi="Century Gothic"/>
          <w:sz w:val="22"/>
          <w:szCs w:val="22"/>
        </w:rPr>
        <w:t xml:space="preserve">e delivered to them </w:t>
      </w:r>
      <w:r w:rsidR="003D106A">
        <w:rPr>
          <w:rFonts w:ascii="Century Gothic" w:hAnsi="Century Gothic"/>
          <w:sz w:val="22"/>
          <w:szCs w:val="22"/>
        </w:rPr>
        <w:t>recording</w:t>
      </w:r>
      <w:r w:rsidR="00537E03">
        <w:rPr>
          <w:rFonts w:ascii="Century Gothic" w:hAnsi="Century Gothic"/>
          <w:sz w:val="22"/>
          <w:szCs w:val="22"/>
        </w:rPr>
        <w:t xml:space="preserve"> the specifications of the fund, investor and t</w:t>
      </w:r>
      <w:r w:rsidR="0050490B">
        <w:rPr>
          <w:rFonts w:ascii="Century Gothic" w:hAnsi="Century Gothic"/>
          <w:sz w:val="22"/>
          <w:szCs w:val="22"/>
        </w:rPr>
        <w:t>he amount</w:t>
      </w:r>
      <w:r w:rsidR="00537E03">
        <w:rPr>
          <w:rFonts w:ascii="Century Gothic" w:hAnsi="Century Gothic"/>
          <w:sz w:val="22"/>
          <w:szCs w:val="22"/>
        </w:rPr>
        <w:t xml:space="preserve"> invested. </w:t>
      </w:r>
    </w:p>
    <w:p w:rsidR="00537E03" w:rsidRDefault="00537E03" w:rsidP="008A54CA">
      <w:pPr>
        <w:numPr>
          <w:ilvl w:val="0"/>
          <w:numId w:val="12"/>
        </w:numPr>
        <w:spacing w:line="360" w:lineRule="auto"/>
        <w:jc w:val="both"/>
        <w:rPr>
          <w:rFonts w:ascii="Century Gothic" w:hAnsi="Century Gothic"/>
          <w:sz w:val="22"/>
          <w:szCs w:val="22"/>
        </w:rPr>
      </w:pPr>
      <w:r>
        <w:rPr>
          <w:rFonts w:ascii="Century Gothic" w:hAnsi="Century Gothic"/>
          <w:b/>
          <w:bCs/>
          <w:sz w:val="22"/>
          <w:szCs w:val="22"/>
        </w:rPr>
        <w:t xml:space="preserve">Free Floating Shares </w:t>
      </w:r>
      <w:r w:rsidRPr="00537E03">
        <w:rPr>
          <w:rFonts w:ascii="Century Gothic" w:hAnsi="Century Gothic"/>
          <w:sz w:val="22"/>
          <w:szCs w:val="22"/>
        </w:rPr>
        <w:t xml:space="preserve">mean a portion of the </w:t>
      </w:r>
      <w:r w:rsidR="008A3926">
        <w:rPr>
          <w:rFonts w:ascii="Century Gothic" w:hAnsi="Century Gothic"/>
          <w:sz w:val="22"/>
          <w:szCs w:val="22"/>
        </w:rPr>
        <w:t xml:space="preserve">listed </w:t>
      </w:r>
      <w:r w:rsidRPr="00537E03">
        <w:rPr>
          <w:rFonts w:ascii="Century Gothic" w:hAnsi="Century Gothic"/>
          <w:sz w:val="22"/>
          <w:szCs w:val="22"/>
        </w:rPr>
        <w:t xml:space="preserve">company shares whose holders are </w:t>
      </w:r>
      <w:r w:rsidR="008A54CA">
        <w:rPr>
          <w:rFonts w:ascii="Century Gothic" w:hAnsi="Century Gothic"/>
          <w:sz w:val="22"/>
          <w:szCs w:val="22"/>
        </w:rPr>
        <w:t xml:space="preserve">typically </w:t>
      </w:r>
      <w:r w:rsidRPr="00537E03">
        <w:rPr>
          <w:rFonts w:ascii="Century Gothic" w:hAnsi="Century Gothic"/>
          <w:sz w:val="22"/>
          <w:szCs w:val="22"/>
        </w:rPr>
        <w:t xml:space="preserve">prepared to offer </w:t>
      </w:r>
      <w:r w:rsidR="0050490B">
        <w:rPr>
          <w:rFonts w:ascii="Century Gothic" w:hAnsi="Century Gothic"/>
          <w:sz w:val="22"/>
          <w:szCs w:val="22"/>
        </w:rPr>
        <w:t xml:space="preserve">and </w:t>
      </w:r>
      <w:r w:rsidRPr="00537E03">
        <w:rPr>
          <w:rFonts w:ascii="Century Gothic" w:hAnsi="Century Gothic"/>
          <w:sz w:val="22"/>
          <w:szCs w:val="22"/>
        </w:rPr>
        <w:t>sell such shares and do not have the intention of having a say in the company management by retaining such portion of shares.</w:t>
      </w:r>
      <w:r>
        <w:rPr>
          <w:rFonts w:ascii="Century Gothic" w:hAnsi="Century Gothic"/>
          <w:b/>
          <w:bCs/>
          <w:sz w:val="22"/>
          <w:szCs w:val="22"/>
        </w:rPr>
        <w:t xml:space="preserve">  </w:t>
      </w:r>
    </w:p>
    <w:p w:rsidR="002C4CB8" w:rsidRDefault="00A80840" w:rsidP="00641F88">
      <w:pPr>
        <w:numPr>
          <w:ilvl w:val="0"/>
          <w:numId w:val="12"/>
        </w:numPr>
        <w:spacing w:line="360" w:lineRule="auto"/>
        <w:jc w:val="both"/>
        <w:rPr>
          <w:rFonts w:ascii="Century Gothic" w:hAnsi="Century Gothic"/>
          <w:sz w:val="22"/>
          <w:szCs w:val="22"/>
        </w:rPr>
      </w:pPr>
      <w:r w:rsidRPr="00A80840">
        <w:rPr>
          <w:rFonts w:ascii="Century Gothic" w:hAnsi="Century Gothic"/>
          <w:b/>
          <w:bCs/>
          <w:sz w:val="22"/>
          <w:szCs w:val="22"/>
        </w:rPr>
        <w:t>Securities and Exchange Organization</w:t>
      </w:r>
      <w:r>
        <w:rPr>
          <w:rFonts w:ascii="Century Gothic" w:hAnsi="Century Gothic"/>
          <w:sz w:val="22"/>
          <w:szCs w:val="22"/>
        </w:rPr>
        <w:t xml:space="preserve"> means </w:t>
      </w:r>
      <w:r w:rsidR="002C4CB8">
        <w:rPr>
          <w:rFonts w:ascii="Century Gothic" w:hAnsi="Century Gothic"/>
          <w:sz w:val="22"/>
          <w:szCs w:val="22"/>
        </w:rPr>
        <w:t>an Organization which has bee</w:t>
      </w:r>
      <w:r w:rsidR="00641F88">
        <w:rPr>
          <w:rFonts w:ascii="Century Gothic" w:hAnsi="Century Gothic"/>
          <w:sz w:val="22"/>
          <w:szCs w:val="22"/>
        </w:rPr>
        <w:t xml:space="preserve">n established by virtue of the </w:t>
      </w:r>
      <w:r w:rsidR="002C4CB8">
        <w:rPr>
          <w:rFonts w:ascii="Century Gothic" w:hAnsi="Century Gothic"/>
          <w:sz w:val="22"/>
          <w:szCs w:val="22"/>
        </w:rPr>
        <w:t xml:space="preserve">Securities Market </w:t>
      </w:r>
      <w:r w:rsidR="00641F88">
        <w:rPr>
          <w:rFonts w:ascii="Century Gothic" w:hAnsi="Century Gothic"/>
          <w:sz w:val="22"/>
          <w:szCs w:val="22"/>
        </w:rPr>
        <w:t>Act</w:t>
      </w:r>
      <w:r w:rsidR="002C4CB8">
        <w:rPr>
          <w:rFonts w:ascii="Century Gothic" w:hAnsi="Century Gothic"/>
          <w:sz w:val="22"/>
          <w:szCs w:val="22"/>
        </w:rPr>
        <w:t xml:space="preserve"> of</w:t>
      </w:r>
      <w:r w:rsidR="00641F88">
        <w:rPr>
          <w:rFonts w:ascii="Century Gothic" w:hAnsi="Century Gothic"/>
          <w:sz w:val="22"/>
          <w:szCs w:val="22"/>
        </w:rPr>
        <w:t xml:space="preserve"> the</w:t>
      </w:r>
      <w:r w:rsidR="002C4CB8">
        <w:rPr>
          <w:rFonts w:ascii="Century Gothic" w:hAnsi="Century Gothic"/>
          <w:sz w:val="22"/>
          <w:szCs w:val="22"/>
        </w:rPr>
        <w:t xml:space="preserve"> I.R.I.</w:t>
      </w:r>
      <w:r w:rsidR="00641F88">
        <w:rPr>
          <w:rFonts w:ascii="Century Gothic" w:hAnsi="Century Gothic"/>
          <w:sz w:val="22"/>
          <w:szCs w:val="22"/>
        </w:rPr>
        <w:t>,</w:t>
      </w:r>
      <w:r w:rsidR="002C4CB8">
        <w:rPr>
          <w:rFonts w:ascii="Century Gothic" w:hAnsi="Century Gothic"/>
          <w:sz w:val="22"/>
          <w:szCs w:val="22"/>
        </w:rPr>
        <w:t xml:space="preserve"> ratified on </w:t>
      </w:r>
      <w:r w:rsidR="0050490B">
        <w:rPr>
          <w:rFonts w:ascii="Century Gothic" w:hAnsi="Century Gothic"/>
          <w:sz w:val="22"/>
          <w:szCs w:val="22"/>
        </w:rPr>
        <w:t xml:space="preserve">Nov. 22, 2005 </w:t>
      </w:r>
      <w:r w:rsidR="002C4CB8">
        <w:rPr>
          <w:rFonts w:ascii="Century Gothic" w:hAnsi="Century Gothic"/>
          <w:sz w:val="22"/>
          <w:szCs w:val="22"/>
        </w:rPr>
        <w:t xml:space="preserve">and </w:t>
      </w:r>
      <w:r w:rsidR="0050490B">
        <w:rPr>
          <w:rFonts w:ascii="Century Gothic" w:hAnsi="Century Gothic"/>
          <w:sz w:val="22"/>
          <w:szCs w:val="22"/>
        </w:rPr>
        <w:t xml:space="preserve">is </w:t>
      </w:r>
      <w:r w:rsidR="002C4CB8">
        <w:rPr>
          <w:rFonts w:ascii="Century Gothic" w:hAnsi="Century Gothic"/>
          <w:sz w:val="22"/>
          <w:szCs w:val="22"/>
        </w:rPr>
        <w:t>hereinafter referred to as the "</w:t>
      </w:r>
      <w:r w:rsidR="0050490B" w:rsidRPr="0050490B">
        <w:rPr>
          <w:rFonts w:ascii="Century Gothic" w:hAnsi="Century Gothic"/>
          <w:b/>
          <w:bCs/>
          <w:sz w:val="22"/>
          <w:szCs w:val="22"/>
        </w:rPr>
        <w:t>Organization</w:t>
      </w:r>
      <w:r w:rsidR="002C4CB8">
        <w:rPr>
          <w:rFonts w:ascii="Century Gothic" w:hAnsi="Century Gothic"/>
          <w:sz w:val="22"/>
          <w:szCs w:val="22"/>
        </w:rPr>
        <w:t xml:space="preserve">". </w:t>
      </w:r>
    </w:p>
    <w:p w:rsidR="00A20F05" w:rsidRDefault="008A54CA" w:rsidP="00641F88">
      <w:pPr>
        <w:numPr>
          <w:ilvl w:val="0"/>
          <w:numId w:val="12"/>
        </w:numPr>
        <w:spacing w:line="360" w:lineRule="auto"/>
        <w:jc w:val="both"/>
        <w:rPr>
          <w:rFonts w:ascii="Century Gothic" w:hAnsi="Century Gothic"/>
          <w:sz w:val="22"/>
          <w:szCs w:val="22"/>
        </w:rPr>
      </w:pPr>
      <w:r>
        <w:rPr>
          <w:rFonts w:ascii="Century Gothic" w:hAnsi="Century Gothic"/>
          <w:b/>
          <w:bCs/>
          <w:sz w:val="22"/>
          <w:szCs w:val="22"/>
        </w:rPr>
        <w:t>Special Purpose Vehicle (SPV)</w:t>
      </w:r>
      <w:r w:rsidR="006D5192">
        <w:rPr>
          <w:rFonts w:ascii="Century Gothic" w:hAnsi="Century Gothic"/>
          <w:sz w:val="22"/>
          <w:szCs w:val="22"/>
        </w:rPr>
        <w:t xml:space="preserve"> means</w:t>
      </w:r>
      <w:r w:rsidR="00A20F05">
        <w:rPr>
          <w:rFonts w:ascii="Century Gothic" w:hAnsi="Century Gothic"/>
          <w:sz w:val="22"/>
          <w:szCs w:val="22"/>
        </w:rPr>
        <w:t xml:space="preserve"> </w:t>
      </w:r>
      <w:r w:rsidR="001B2D8D">
        <w:rPr>
          <w:rFonts w:ascii="Century Gothic" w:hAnsi="Century Gothic"/>
          <w:sz w:val="22"/>
          <w:szCs w:val="22"/>
        </w:rPr>
        <w:t xml:space="preserve">one </w:t>
      </w:r>
      <w:r w:rsidR="00A20F05">
        <w:rPr>
          <w:rFonts w:ascii="Century Gothic" w:hAnsi="Century Gothic"/>
          <w:sz w:val="22"/>
          <w:szCs w:val="22"/>
        </w:rPr>
        <w:t xml:space="preserve">of the financial institutions under the Securities Market </w:t>
      </w:r>
      <w:r w:rsidR="00641F88">
        <w:rPr>
          <w:rFonts w:ascii="Century Gothic" w:hAnsi="Century Gothic"/>
          <w:sz w:val="22"/>
          <w:szCs w:val="22"/>
        </w:rPr>
        <w:t>Act</w:t>
      </w:r>
      <w:r w:rsidR="00A20F05">
        <w:rPr>
          <w:rFonts w:ascii="Century Gothic" w:hAnsi="Century Gothic"/>
          <w:sz w:val="22"/>
          <w:szCs w:val="22"/>
        </w:rPr>
        <w:t xml:space="preserve"> of</w:t>
      </w:r>
      <w:r w:rsidR="00641F88">
        <w:rPr>
          <w:rFonts w:ascii="Century Gothic" w:hAnsi="Century Gothic"/>
          <w:sz w:val="22"/>
          <w:szCs w:val="22"/>
        </w:rPr>
        <w:t xml:space="preserve"> the</w:t>
      </w:r>
      <w:r w:rsidR="00A20F05">
        <w:rPr>
          <w:rFonts w:ascii="Century Gothic" w:hAnsi="Century Gothic"/>
          <w:sz w:val="22"/>
          <w:szCs w:val="22"/>
        </w:rPr>
        <w:t xml:space="preserve"> I.R.I. which is authorized to </w:t>
      </w:r>
      <w:r w:rsidR="008A3926">
        <w:rPr>
          <w:rFonts w:ascii="Century Gothic" w:hAnsi="Century Gothic"/>
          <w:sz w:val="22"/>
          <w:szCs w:val="22"/>
        </w:rPr>
        <w:t>raise</w:t>
      </w:r>
      <w:r w:rsidR="00A20F05">
        <w:rPr>
          <w:rFonts w:ascii="Century Gothic" w:hAnsi="Century Gothic"/>
          <w:sz w:val="22"/>
          <w:szCs w:val="22"/>
        </w:rPr>
        <w:t xml:space="preserve"> funds by issuing securities through the conduct of transactions under the category of Islamic </w:t>
      </w:r>
      <w:r w:rsidR="00754D24">
        <w:rPr>
          <w:rFonts w:ascii="Century Gothic" w:hAnsi="Century Gothic"/>
          <w:sz w:val="22"/>
          <w:szCs w:val="22"/>
        </w:rPr>
        <w:t>c</w:t>
      </w:r>
      <w:r w:rsidR="00A20F05">
        <w:rPr>
          <w:rFonts w:ascii="Century Gothic" w:hAnsi="Century Gothic"/>
          <w:sz w:val="22"/>
          <w:szCs w:val="22"/>
        </w:rPr>
        <w:t xml:space="preserve">ontracts. </w:t>
      </w:r>
    </w:p>
    <w:p w:rsidR="00537E03" w:rsidRDefault="00A20F05" w:rsidP="008A3926">
      <w:pPr>
        <w:numPr>
          <w:ilvl w:val="0"/>
          <w:numId w:val="12"/>
        </w:numPr>
        <w:spacing w:line="360" w:lineRule="auto"/>
        <w:jc w:val="both"/>
        <w:rPr>
          <w:rFonts w:ascii="Century Gothic" w:hAnsi="Century Gothic"/>
          <w:sz w:val="22"/>
          <w:szCs w:val="22"/>
        </w:rPr>
      </w:pPr>
      <w:r>
        <w:rPr>
          <w:rFonts w:ascii="Century Gothic" w:hAnsi="Century Gothic"/>
          <w:b/>
          <w:bCs/>
          <w:sz w:val="22"/>
          <w:szCs w:val="22"/>
        </w:rPr>
        <w:t xml:space="preserve">Mutual Fund </w:t>
      </w:r>
      <w:r w:rsidR="00754D24">
        <w:rPr>
          <w:rFonts w:ascii="Century Gothic" w:hAnsi="Century Gothic"/>
          <w:sz w:val="22"/>
          <w:szCs w:val="22"/>
        </w:rPr>
        <w:t>means a financial institution</w:t>
      </w:r>
      <w:r w:rsidRPr="00A20F05">
        <w:rPr>
          <w:rFonts w:ascii="Century Gothic" w:hAnsi="Century Gothic"/>
          <w:sz w:val="22"/>
          <w:szCs w:val="22"/>
        </w:rPr>
        <w:t xml:space="preserve"> which invests the financial resources derived from issuance of investment </w:t>
      </w:r>
      <w:r w:rsidR="008A3926">
        <w:rPr>
          <w:rFonts w:ascii="Century Gothic" w:hAnsi="Century Gothic"/>
          <w:sz w:val="22"/>
          <w:szCs w:val="22"/>
        </w:rPr>
        <w:t>units</w:t>
      </w:r>
      <w:r w:rsidR="00754D24">
        <w:rPr>
          <w:rFonts w:ascii="Century Gothic" w:hAnsi="Century Gothic"/>
          <w:sz w:val="22"/>
          <w:szCs w:val="22"/>
        </w:rPr>
        <w:t xml:space="preserve"> in its </w:t>
      </w:r>
      <w:r w:rsidR="00DF52EE">
        <w:rPr>
          <w:rFonts w:ascii="Century Gothic" w:hAnsi="Century Gothic"/>
          <w:sz w:val="22"/>
          <w:szCs w:val="22"/>
        </w:rPr>
        <w:t xml:space="preserve">designated </w:t>
      </w:r>
      <w:r w:rsidR="00754D24">
        <w:rPr>
          <w:rFonts w:ascii="Century Gothic" w:hAnsi="Century Gothic"/>
          <w:sz w:val="22"/>
          <w:szCs w:val="22"/>
        </w:rPr>
        <w:t>area</w:t>
      </w:r>
      <w:r w:rsidRPr="00A20F05">
        <w:rPr>
          <w:rFonts w:ascii="Century Gothic" w:hAnsi="Century Gothic"/>
          <w:sz w:val="22"/>
          <w:szCs w:val="22"/>
        </w:rPr>
        <w:t xml:space="preserve"> of activity.</w:t>
      </w:r>
      <w:r>
        <w:rPr>
          <w:rFonts w:ascii="Century Gothic" w:hAnsi="Century Gothic"/>
          <w:b/>
          <w:bCs/>
          <w:sz w:val="22"/>
          <w:szCs w:val="22"/>
        </w:rPr>
        <w:t xml:space="preserve">  </w:t>
      </w:r>
      <w:r w:rsidR="002C4CB8">
        <w:rPr>
          <w:rFonts w:ascii="Century Gothic" w:hAnsi="Century Gothic"/>
          <w:sz w:val="22"/>
          <w:szCs w:val="22"/>
        </w:rPr>
        <w:t xml:space="preserve"> </w:t>
      </w:r>
    </w:p>
    <w:p w:rsidR="001A00C1" w:rsidRDefault="001A00C1" w:rsidP="00DB5B61">
      <w:pPr>
        <w:spacing w:line="360" w:lineRule="auto"/>
        <w:jc w:val="both"/>
        <w:rPr>
          <w:rFonts w:ascii="Century Gothic" w:hAnsi="Century Gothic"/>
          <w:sz w:val="22"/>
          <w:szCs w:val="22"/>
        </w:rPr>
      </w:pPr>
    </w:p>
    <w:p w:rsidR="00F04484" w:rsidRDefault="00F04484" w:rsidP="00DB5B61">
      <w:pPr>
        <w:spacing w:line="360" w:lineRule="auto"/>
        <w:ind w:left="1080" w:hanging="1080"/>
        <w:jc w:val="both"/>
        <w:rPr>
          <w:rFonts w:ascii="Century Gothic" w:hAnsi="Century Gothic"/>
          <w:b/>
          <w:bCs/>
          <w:sz w:val="22"/>
          <w:szCs w:val="22"/>
        </w:rPr>
      </w:pPr>
    </w:p>
    <w:p w:rsidR="005E2B6C" w:rsidRDefault="005E2B6C" w:rsidP="00DB5B61">
      <w:pPr>
        <w:spacing w:line="360" w:lineRule="auto"/>
        <w:ind w:left="1080" w:hanging="1080"/>
        <w:jc w:val="both"/>
        <w:rPr>
          <w:rFonts w:ascii="Century Gothic" w:hAnsi="Century Gothic"/>
          <w:b/>
          <w:bCs/>
          <w:sz w:val="22"/>
          <w:szCs w:val="22"/>
        </w:rPr>
      </w:pPr>
    </w:p>
    <w:p w:rsidR="005E2B6C" w:rsidRDefault="005E2B6C" w:rsidP="00DB5B61">
      <w:pPr>
        <w:spacing w:line="360" w:lineRule="auto"/>
        <w:ind w:left="1080" w:hanging="1080"/>
        <w:jc w:val="both"/>
        <w:rPr>
          <w:rFonts w:ascii="Century Gothic" w:hAnsi="Century Gothic"/>
          <w:b/>
          <w:bCs/>
          <w:sz w:val="22"/>
          <w:szCs w:val="22"/>
        </w:rPr>
      </w:pPr>
    </w:p>
    <w:p w:rsidR="005E2B6C" w:rsidRDefault="005E2B6C" w:rsidP="00DB5B61">
      <w:pPr>
        <w:spacing w:line="360" w:lineRule="auto"/>
        <w:ind w:left="1080" w:hanging="1080"/>
        <w:jc w:val="both"/>
        <w:rPr>
          <w:rFonts w:ascii="Century Gothic" w:hAnsi="Century Gothic"/>
          <w:b/>
          <w:bCs/>
          <w:sz w:val="22"/>
          <w:szCs w:val="22"/>
        </w:rPr>
      </w:pPr>
    </w:p>
    <w:p w:rsidR="00DB5B61" w:rsidRDefault="00DB5B61" w:rsidP="00DB5B6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2: </w:t>
      </w:r>
    </w:p>
    <w:p w:rsidR="00DB5B61" w:rsidRDefault="007C3E37" w:rsidP="00641F88">
      <w:pPr>
        <w:spacing w:line="360" w:lineRule="auto"/>
        <w:jc w:val="both"/>
        <w:rPr>
          <w:rFonts w:ascii="Century Gothic" w:hAnsi="Century Gothic"/>
          <w:sz w:val="22"/>
          <w:szCs w:val="22"/>
        </w:rPr>
      </w:pPr>
      <w:r>
        <w:rPr>
          <w:rFonts w:ascii="Century Gothic" w:hAnsi="Century Gothic"/>
          <w:sz w:val="22"/>
          <w:szCs w:val="22"/>
        </w:rPr>
        <w:t xml:space="preserve">The </w:t>
      </w:r>
      <w:r w:rsidR="00A20F05">
        <w:rPr>
          <w:rFonts w:ascii="Century Gothic" w:hAnsi="Century Gothic"/>
          <w:sz w:val="22"/>
          <w:szCs w:val="22"/>
        </w:rPr>
        <w:t xml:space="preserve">State Organization for Lands and Deeds Registration shall, merely by virtue of the Organization's license, have to register the funds under paragraphs (19) </w:t>
      </w:r>
      <w:r w:rsidR="00641F88">
        <w:rPr>
          <w:rFonts w:ascii="Century Gothic" w:hAnsi="Century Gothic"/>
          <w:sz w:val="22"/>
          <w:szCs w:val="22"/>
        </w:rPr>
        <w:t xml:space="preserve">and (20) of article (1) of the </w:t>
      </w:r>
      <w:r w:rsidR="00A20F05">
        <w:rPr>
          <w:rFonts w:ascii="Century Gothic" w:hAnsi="Century Gothic"/>
          <w:sz w:val="22"/>
          <w:szCs w:val="22"/>
        </w:rPr>
        <w:t xml:space="preserve">Securities Market </w:t>
      </w:r>
      <w:r w:rsidR="00641F88">
        <w:rPr>
          <w:rFonts w:ascii="Century Gothic" w:hAnsi="Century Gothic"/>
          <w:sz w:val="22"/>
          <w:szCs w:val="22"/>
        </w:rPr>
        <w:t>Act</w:t>
      </w:r>
      <w:r w:rsidR="00A20F05">
        <w:rPr>
          <w:rFonts w:ascii="Century Gothic" w:hAnsi="Century Gothic"/>
          <w:sz w:val="22"/>
          <w:szCs w:val="22"/>
        </w:rPr>
        <w:t xml:space="preserve"> </w:t>
      </w:r>
      <w:r w:rsidR="00852893">
        <w:rPr>
          <w:rFonts w:ascii="Century Gothic" w:hAnsi="Century Gothic"/>
          <w:sz w:val="22"/>
          <w:szCs w:val="22"/>
        </w:rPr>
        <w:t>of</w:t>
      </w:r>
      <w:r w:rsidR="00641F88">
        <w:rPr>
          <w:rFonts w:ascii="Century Gothic" w:hAnsi="Century Gothic"/>
          <w:sz w:val="22"/>
          <w:szCs w:val="22"/>
        </w:rPr>
        <w:t xml:space="preserve"> the</w:t>
      </w:r>
      <w:r w:rsidR="00852893">
        <w:rPr>
          <w:rFonts w:ascii="Century Gothic" w:hAnsi="Century Gothic"/>
          <w:sz w:val="22"/>
          <w:szCs w:val="22"/>
        </w:rPr>
        <w:t xml:space="preserve"> I.R.I. and the mutual funds under paragraph (1) of article (14) of the </w:t>
      </w:r>
      <w:r w:rsidR="00572A61">
        <w:rPr>
          <w:rFonts w:ascii="Century Gothic" w:hAnsi="Century Gothic"/>
          <w:sz w:val="22"/>
          <w:szCs w:val="22"/>
        </w:rPr>
        <w:t>"L</w:t>
      </w:r>
      <w:r w:rsidR="00852893">
        <w:rPr>
          <w:rFonts w:ascii="Century Gothic" w:hAnsi="Century Gothic"/>
          <w:sz w:val="22"/>
          <w:szCs w:val="22"/>
        </w:rPr>
        <w:t xml:space="preserve">aw for </w:t>
      </w:r>
      <w:r w:rsidR="00572A61">
        <w:rPr>
          <w:rFonts w:ascii="Century Gothic" w:hAnsi="Century Gothic"/>
          <w:sz w:val="22"/>
          <w:szCs w:val="22"/>
        </w:rPr>
        <w:t>M</w:t>
      </w:r>
      <w:r w:rsidR="00852893">
        <w:rPr>
          <w:rFonts w:ascii="Century Gothic" w:hAnsi="Century Gothic"/>
          <w:sz w:val="22"/>
          <w:szCs w:val="22"/>
        </w:rPr>
        <w:t xml:space="preserve">anagement and </w:t>
      </w:r>
      <w:r w:rsidR="00572A61">
        <w:rPr>
          <w:rFonts w:ascii="Century Gothic" w:hAnsi="Century Gothic"/>
          <w:sz w:val="22"/>
          <w:szCs w:val="22"/>
        </w:rPr>
        <w:t>P</w:t>
      </w:r>
      <w:r w:rsidR="00852893">
        <w:rPr>
          <w:rFonts w:ascii="Century Gothic" w:hAnsi="Century Gothic"/>
          <w:sz w:val="22"/>
          <w:szCs w:val="22"/>
        </w:rPr>
        <w:t xml:space="preserve">rotection of </w:t>
      </w:r>
      <w:r w:rsidR="00572A61">
        <w:rPr>
          <w:rFonts w:ascii="Century Gothic" w:hAnsi="Century Gothic"/>
          <w:sz w:val="22"/>
          <w:szCs w:val="22"/>
        </w:rPr>
        <w:t>H</w:t>
      </w:r>
      <w:r w:rsidR="00852893">
        <w:rPr>
          <w:rFonts w:ascii="Century Gothic" w:hAnsi="Century Gothic"/>
          <w:sz w:val="22"/>
          <w:szCs w:val="22"/>
        </w:rPr>
        <w:t xml:space="preserve">ousing </w:t>
      </w:r>
      <w:r w:rsidR="00572A61">
        <w:rPr>
          <w:rFonts w:ascii="Century Gothic" w:hAnsi="Century Gothic"/>
          <w:sz w:val="22"/>
          <w:szCs w:val="22"/>
        </w:rPr>
        <w:t>C</w:t>
      </w:r>
      <w:r w:rsidR="00852893">
        <w:rPr>
          <w:rFonts w:ascii="Century Gothic" w:hAnsi="Century Gothic"/>
          <w:sz w:val="22"/>
          <w:szCs w:val="22"/>
        </w:rPr>
        <w:t xml:space="preserve">onstruction and </w:t>
      </w:r>
      <w:r w:rsidR="008A3926">
        <w:rPr>
          <w:rFonts w:ascii="Century Gothic" w:hAnsi="Century Gothic"/>
          <w:sz w:val="22"/>
          <w:szCs w:val="22"/>
        </w:rPr>
        <w:t>Supply</w:t>
      </w:r>
      <w:r w:rsidR="00572A61">
        <w:rPr>
          <w:rFonts w:ascii="Century Gothic" w:hAnsi="Century Gothic"/>
          <w:sz w:val="22"/>
          <w:szCs w:val="22"/>
        </w:rPr>
        <w:t>"</w:t>
      </w:r>
      <w:r w:rsidR="00852893">
        <w:rPr>
          <w:rFonts w:ascii="Century Gothic" w:hAnsi="Century Gothic"/>
          <w:sz w:val="22"/>
          <w:szCs w:val="22"/>
        </w:rPr>
        <w:t xml:space="preserve"> passed on </w:t>
      </w:r>
      <w:r w:rsidR="00572A61">
        <w:rPr>
          <w:rFonts w:ascii="Century Gothic" w:hAnsi="Century Gothic"/>
          <w:sz w:val="22"/>
          <w:szCs w:val="22"/>
        </w:rPr>
        <w:t xml:space="preserve">May 15, 2008 </w:t>
      </w:r>
      <w:r w:rsidR="00852893">
        <w:rPr>
          <w:rFonts w:ascii="Century Gothic" w:hAnsi="Century Gothic"/>
          <w:sz w:val="22"/>
          <w:szCs w:val="22"/>
        </w:rPr>
        <w:t xml:space="preserve">and other funds which fall under the category of financial institutions in conformity with the rules of the Securities Market </w:t>
      </w:r>
      <w:r w:rsidR="00641F88">
        <w:rPr>
          <w:rFonts w:ascii="Century Gothic" w:hAnsi="Century Gothic"/>
          <w:sz w:val="22"/>
          <w:szCs w:val="22"/>
        </w:rPr>
        <w:t>Act</w:t>
      </w:r>
      <w:r w:rsidR="00852893">
        <w:rPr>
          <w:rFonts w:ascii="Century Gothic" w:hAnsi="Century Gothic"/>
          <w:sz w:val="22"/>
          <w:szCs w:val="22"/>
        </w:rPr>
        <w:t xml:space="preserve"> of</w:t>
      </w:r>
      <w:r w:rsidR="00641F88">
        <w:rPr>
          <w:rFonts w:ascii="Century Gothic" w:hAnsi="Century Gothic"/>
          <w:sz w:val="22"/>
          <w:szCs w:val="22"/>
        </w:rPr>
        <w:t xml:space="preserve"> the</w:t>
      </w:r>
      <w:r w:rsidR="00852893">
        <w:rPr>
          <w:rFonts w:ascii="Century Gothic" w:hAnsi="Century Gothic"/>
          <w:sz w:val="22"/>
          <w:szCs w:val="22"/>
        </w:rPr>
        <w:t xml:space="preserve"> I.R.I.</w:t>
      </w:r>
      <w:r w:rsidR="008A3926">
        <w:rPr>
          <w:rFonts w:ascii="Century Gothic" w:hAnsi="Century Gothic"/>
          <w:sz w:val="22"/>
          <w:szCs w:val="22"/>
        </w:rPr>
        <w:t>.</w:t>
      </w:r>
      <w:r w:rsidR="002325AA">
        <w:rPr>
          <w:rFonts w:ascii="Century Gothic" w:hAnsi="Century Gothic"/>
          <w:sz w:val="22"/>
          <w:szCs w:val="22"/>
        </w:rPr>
        <w:t xml:space="preserve"> Such funds shall </w:t>
      </w:r>
      <w:r w:rsidR="003D106A">
        <w:rPr>
          <w:rFonts w:ascii="Century Gothic" w:hAnsi="Century Gothic"/>
          <w:sz w:val="22"/>
          <w:szCs w:val="22"/>
        </w:rPr>
        <w:t>become</w:t>
      </w:r>
      <w:r w:rsidR="007322DE">
        <w:rPr>
          <w:rFonts w:ascii="Century Gothic" w:hAnsi="Century Gothic"/>
          <w:sz w:val="22"/>
          <w:szCs w:val="22"/>
        </w:rPr>
        <w:t xml:space="preserve"> a </w:t>
      </w:r>
      <w:r w:rsidR="002325AA">
        <w:rPr>
          <w:rFonts w:ascii="Century Gothic" w:hAnsi="Century Gothic"/>
          <w:sz w:val="22"/>
          <w:szCs w:val="22"/>
        </w:rPr>
        <w:t xml:space="preserve">legal entity as of the registration date. </w:t>
      </w:r>
      <w:r w:rsidR="00852893">
        <w:rPr>
          <w:rFonts w:ascii="Century Gothic" w:hAnsi="Century Gothic"/>
          <w:sz w:val="22"/>
          <w:szCs w:val="22"/>
        </w:rPr>
        <w:t xml:space="preserve"> </w:t>
      </w:r>
    </w:p>
    <w:p w:rsidR="007C3E37" w:rsidRDefault="007C3E37" w:rsidP="007C3E37">
      <w:pPr>
        <w:spacing w:line="360" w:lineRule="auto"/>
        <w:ind w:left="360"/>
        <w:jc w:val="both"/>
        <w:rPr>
          <w:rFonts w:ascii="Century Gothic" w:hAnsi="Century Gothic"/>
          <w:b/>
          <w:bCs/>
          <w:sz w:val="22"/>
          <w:szCs w:val="22"/>
        </w:rPr>
      </w:pPr>
    </w:p>
    <w:p w:rsidR="00DB5B61" w:rsidRDefault="00DB5B61" w:rsidP="00DB5B6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3: </w:t>
      </w:r>
    </w:p>
    <w:p w:rsidR="00DB5B61" w:rsidRDefault="009E7CC4" w:rsidP="008A3926">
      <w:pPr>
        <w:spacing w:line="360" w:lineRule="auto"/>
        <w:jc w:val="both"/>
        <w:rPr>
          <w:rFonts w:ascii="Century Gothic" w:hAnsi="Century Gothic"/>
          <w:sz w:val="22"/>
          <w:szCs w:val="22"/>
        </w:rPr>
      </w:pPr>
      <w:r>
        <w:rPr>
          <w:rFonts w:ascii="Century Gothic" w:hAnsi="Century Gothic"/>
          <w:sz w:val="22"/>
          <w:szCs w:val="22"/>
        </w:rPr>
        <w:t xml:space="preserve">In return for the investment in the funds under article (2), a registered investment </w:t>
      </w:r>
      <w:r w:rsidR="008A3926">
        <w:rPr>
          <w:rFonts w:ascii="Century Gothic" w:hAnsi="Century Gothic"/>
          <w:sz w:val="22"/>
          <w:szCs w:val="22"/>
        </w:rPr>
        <w:t>unit</w:t>
      </w:r>
      <w:r>
        <w:rPr>
          <w:rFonts w:ascii="Century Gothic" w:hAnsi="Century Gothic"/>
          <w:sz w:val="22"/>
          <w:szCs w:val="22"/>
        </w:rPr>
        <w:t xml:space="preserve"> is issued. The responsibility of investors in such funds shall be confined to the size of </w:t>
      </w:r>
      <w:r w:rsidR="00572A61">
        <w:rPr>
          <w:rFonts w:ascii="Century Gothic" w:hAnsi="Century Gothic"/>
          <w:sz w:val="22"/>
          <w:szCs w:val="22"/>
        </w:rPr>
        <w:t xml:space="preserve">their </w:t>
      </w:r>
      <w:r>
        <w:rPr>
          <w:rFonts w:ascii="Century Gothic" w:hAnsi="Century Gothic"/>
          <w:sz w:val="22"/>
          <w:szCs w:val="22"/>
        </w:rPr>
        <w:t xml:space="preserve">amounts so invested. </w:t>
      </w:r>
    </w:p>
    <w:p w:rsidR="00443CA2" w:rsidRDefault="00443CA2" w:rsidP="00DB5B61">
      <w:pPr>
        <w:spacing w:line="360" w:lineRule="auto"/>
        <w:ind w:left="1080" w:hanging="1080"/>
        <w:jc w:val="both"/>
        <w:rPr>
          <w:rFonts w:ascii="Century Gothic" w:hAnsi="Century Gothic"/>
          <w:b/>
          <w:bCs/>
          <w:sz w:val="22"/>
          <w:szCs w:val="22"/>
        </w:rPr>
      </w:pPr>
    </w:p>
    <w:p w:rsidR="00DB5B61" w:rsidRDefault="00DB5B61" w:rsidP="00DB5B6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4: </w:t>
      </w:r>
    </w:p>
    <w:p w:rsidR="002C4F1E" w:rsidRDefault="009E7CC4" w:rsidP="005073DF">
      <w:pPr>
        <w:spacing w:line="360" w:lineRule="auto"/>
        <w:jc w:val="both"/>
        <w:rPr>
          <w:rFonts w:ascii="Century Gothic" w:hAnsi="Century Gothic"/>
          <w:sz w:val="22"/>
          <w:szCs w:val="22"/>
        </w:rPr>
      </w:pPr>
      <w:r>
        <w:rPr>
          <w:rFonts w:ascii="Century Gothic" w:hAnsi="Century Gothic"/>
          <w:sz w:val="22"/>
          <w:szCs w:val="22"/>
        </w:rPr>
        <w:t xml:space="preserve">Establishment, registration, operations, dissolution and liquidation of the funds under article (2) shall </w:t>
      </w:r>
      <w:r w:rsidR="002C4F1E">
        <w:rPr>
          <w:rFonts w:ascii="Century Gothic" w:hAnsi="Century Gothic"/>
          <w:sz w:val="22"/>
          <w:szCs w:val="22"/>
        </w:rPr>
        <w:t xml:space="preserve">be </w:t>
      </w:r>
      <w:r w:rsidR="005073DF">
        <w:rPr>
          <w:rFonts w:ascii="Century Gothic" w:hAnsi="Century Gothic"/>
          <w:sz w:val="22"/>
          <w:szCs w:val="22"/>
        </w:rPr>
        <w:t xml:space="preserve">fulfilled </w:t>
      </w:r>
      <w:r w:rsidR="002C4F1E">
        <w:rPr>
          <w:rFonts w:ascii="Century Gothic" w:hAnsi="Century Gothic"/>
          <w:sz w:val="22"/>
          <w:szCs w:val="22"/>
        </w:rPr>
        <w:t xml:space="preserve">in accordance with the following requirements: </w:t>
      </w:r>
    </w:p>
    <w:p w:rsidR="00D235EF" w:rsidRDefault="00690DBB" w:rsidP="006D2D80">
      <w:pPr>
        <w:numPr>
          <w:ilvl w:val="0"/>
          <w:numId w:val="13"/>
        </w:numPr>
        <w:spacing w:line="360" w:lineRule="auto"/>
        <w:jc w:val="both"/>
        <w:rPr>
          <w:rFonts w:ascii="Century Gothic" w:hAnsi="Century Gothic"/>
          <w:sz w:val="22"/>
          <w:szCs w:val="22"/>
        </w:rPr>
      </w:pPr>
      <w:r>
        <w:rPr>
          <w:rFonts w:ascii="Century Gothic" w:hAnsi="Century Gothic"/>
          <w:sz w:val="22"/>
          <w:szCs w:val="22"/>
        </w:rPr>
        <w:t>T</w:t>
      </w:r>
      <w:r w:rsidR="002C4F1E">
        <w:rPr>
          <w:rFonts w:ascii="Century Gothic" w:hAnsi="Century Gothic"/>
          <w:sz w:val="22"/>
          <w:szCs w:val="22"/>
        </w:rPr>
        <w:t xml:space="preserve">he duration of the business of such funds shall </w:t>
      </w:r>
      <w:r w:rsidR="004C59F4">
        <w:rPr>
          <w:rFonts w:ascii="Century Gothic" w:hAnsi="Century Gothic"/>
          <w:sz w:val="22"/>
          <w:szCs w:val="22"/>
        </w:rPr>
        <w:t xml:space="preserve">have to </w:t>
      </w:r>
      <w:r w:rsidR="002C4F1E">
        <w:rPr>
          <w:rFonts w:ascii="Century Gothic" w:hAnsi="Century Gothic"/>
          <w:sz w:val="22"/>
          <w:szCs w:val="22"/>
        </w:rPr>
        <w:t xml:space="preserve">be specified in the articles of association commensurate </w:t>
      </w:r>
      <w:r w:rsidR="00D235EF">
        <w:rPr>
          <w:rFonts w:ascii="Century Gothic" w:hAnsi="Century Gothic"/>
          <w:sz w:val="22"/>
          <w:szCs w:val="22"/>
        </w:rPr>
        <w:t xml:space="preserve">with the fund's type of activity; </w:t>
      </w:r>
    </w:p>
    <w:p w:rsidR="00D235EF" w:rsidRDefault="00690DBB" w:rsidP="006D2D80">
      <w:pPr>
        <w:numPr>
          <w:ilvl w:val="0"/>
          <w:numId w:val="13"/>
        </w:numPr>
        <w:spacing w:line="360" w:lineRule="auto"/>
        <w:jc w:val="both"/>
        <w:rPr>
          <w:rFonts w:ascii="Century Gothic" w:hAnsi="Century Gothic"/>
          <w:sz w:val="22"/>
          <w:szCs w:val="22"/>
        </w:rPr>
      </w:pPr>
      <w:r>
        <w:rPr>
          <w:rFonts w:ascii="Century Gothic" w:hAnsi="Century Gothic"/>
          <w:sz w:val="22"/>
          <w:szCs w:val="22"/>
        </w:rPr>
        <w:t>The</w:t>
      </w:r>
      <w:r w:rsidR="00D235EF">
        <w:rPr>
          <w:rFonts w:ascii="Century Gothic" w:hAnsi="Century Gothic"/>
          <w:sz w:val="22"/>
          <w:szCs w:val="22"/>
        </w:rPr>
        <w:t xml:space="preserve"> minimum capital required for the formation of mutual funds shall be the amount of five billion (5,000,000</w:t>
      </w:r>
      <w:r w:rsidR="005073DF">
        <w:rPr>
          <w:rFonts w:ascii="Century Gothic" w:hAnsi="Century Gothic"/>
          <w:sz w:val="22"/>
          <w:szCs w:val="22"/>
        </w:rPr>
        <w:t>,000</w:t>
      </w:r>
      <w:r w:rsidR="00D235EF">
        <w:rPr>
          <w:rFonts w:ascii="Century Gothic" w:hAnsi="Century Gothic"/>
          <w:sz w:val="22"/>
          <w:szCs w:val="22"/>
        </w:rPr>
        <w:t xml:space="preserve">) </w:t>
      </w:r>
      <w:r w:rsidR="006D2D80">
        <w:rPr>
          <w:rFonts w:ascii="Century Gothic" w:hAnsi="Century Gothic"/>
          <w:sz w:val="22"/>
          <w:szCs w:val="22"/>
        </w:rPr>
        <w:t>R</w:t>
      </w:r>
      <w:r w:rsidR="00D235EF">
        <w:rPr>
          <w:rFonts w:ascii="Century Gothic" w:hAnsi="Century Gothic"/>
          <w:sz w:val="22"/>
          <w:szCs w:val="22"/>
        </w:rPr>
        <w:t xml:space="preserve">ials. The Securities and Exchange High Council shall have the authority to increase the minimum capital required for the formation of mutual funds by making allowances for changes in the inflation rate; </w:t>
      </w:r>
    </w:p>
    <w:p w:rsidR="00D235EF" w:rsidRDefault="00D235EF" w:rsidP="006D2D80">
      <w:pPr>
        <w:numPr>
          <w:ilvl w:val="0"/>
          <w:numId w:val="13"/>
        </w:numPr>
        <w:spacing w:line="360" w:lineRule="auto"/>
        <w:jc w:val="both"/>
        <w:rPr>
          <w:rFonts w:ascii="Century Gothic" w:hAnsi="Century Gothic"/>
          <w:sz w:val="22"/>
          <w:szCs w:val="22"/>
        </w:rPr>
      </w:pPr>
      <w:r>
        <w:rPr>
          <w:rFonts w:ascii="Century Gothic" w:hAnsi="Century Gothic"/>
          <w:sz w:val="22"/>
          <w:szCs w:val="22"/>
        </w:rPr>
        <w:t xml:space="preserve">Whether the </w:t>
      </w:r>
      <w:r w:rsidR="006D2D80">
        <w:rPr>
          <w:rFonts w:ascii="Century Gothic" w:hAnsi="Century Gothic"/>
          <w:sz w:val="22"/>
          <w:szCs w:val="22"/>
        </w:rPr>
        <w:t>fund</w:t>
      </w:r>
      <w:r>
        <w:rPr>
          <w:rFonts w:ascii="Century Gothic" w:hAnsi="Century Gothic"/>
          <w:sz w:val="22"/>
          <w:szCs w:val="22"/>
        </w:rPr>
        <w:t xml:space="preserve"> is </w:t>
      </w:r>
      <w:r w:rsidR="004C59F4">
        <w:rPr>
          <w:rFonts w:ascii="Century Gothic" w:hAnsi="Century Gothic"/>
          <w:sz w:val="22"/>
          <w:szCs w:val="22"/>
        </w:rPr>
        <w:t xml:space="preserve">open-end </w:t>
      </w:r>
      <w:r>
        <w:rPr>
          <w:rFonts w:ascii="Century Gothic" w:hAnsi="Century Gothic"/>
          <w:sz w:val="22"/>
          <w:szCs w:val="22"/>
        </w:rPr>
        <w:t xml:space="preserve">or </w:t>
      </w:r>
      <w:r w:rsidR="004C59F4">
        <w:rPr>
          <w:rFonts w:ascii="Century Gothic" w:hAnsi="Century Gothic"/>
          <w:sz w:val="22"/>
          <w:szCs w:val="22"/>
        </w:rPr>
        <w:t xml:space="preserve">closed-end </w:t>
      </w:r>
      <w:r>
        <w:rPr>
          <w:rFonts w:ascii="Century Gothic" w:hAnsi="Century Gothic"/>
          <w:sz w:val="22"/>
          <w:szCs w:val="22"/>
        </w:rPr>
        <w:t xml:space="preserve">as well as </w:t>
      </w:r>
      <w:r w:rsidR="005073DF">
        <w:rPr>
          <w:rFonts w:ascii="Century Gothic" w:hAnsi="Century Gothic"/>
          <w:sz w:val="22"/>
          <w:szCs w:val="22"/>
        </w:rPr>
        <w:t xml:space="preserve">the </w:t>
      </w:r>
      <w:r w:rsidR="004C59F4">
        <w:rPr>
          <w:rFonts w:ascii="Century Gothic" w:hAnsi="Century Gothic"/>
          <w:sz w:val="22"/>
          <w:szCs w:val="22"/>
        </w:rPr>
        <w:t>possibility and procedure</w:t>
      </w:r>
      <w:r>
        <w:rPr>
          <w:rFonts w:ascii="Century Gothic" w:hAnsi="Century Gothic"/>
          <w:sz w:val="22"/>
          <w:szCs w:val="22"/>
        </w:rPr>
        <w:t xml:space="preserve"> of transfer</w:t>
      </w:r>
      <w:r w:rsidR="004C59F4">
        <w:rPr>
          <w:rFonts w:ascii="Century Gothic" w:hAnsi="Century Gothic"/>
          <w:sz w:val="22"/>
          <w:szCs w:val="22"/>
        </w:rPr>
        <w:t xml:space="preserve">ring the investment </w:t>
      </w:r>
      <w:r w:rsidR="006D2D80">
        <w:rPr>
          <w:rFonts w:ascii="Century Gothic" w:hAnsi="Century Gothic"/>
          <w:sz w:val="22"/>
          <w:szCs w:val="22"/>
        </w:rPr>
        <w:t>unit</w:t>
      </w:r>
      <w:r>
        <w:rPr>
          <w:rFonts w:ascii="Century Gothic" w:hAnsi="Century Gothic"/>
          <w:sz w:val="22"/>
          <w:szCs w:val="22"/>
        </w:rPr>
        <w:t xml:space="preserve"> of funds through issuance and </w:t>
      </w:r>
      <w:r w:rsidR="004C59F4">
        <w:rPr>
          <w:rFonts w:ascii="Century Gothic" w:hAnsi="Century Gothic"/>
          <w:sz w:val="22"/>
          <w:szCs w:val="22"/>
        </w:rPr>
        <w:t xml:space="preserve">redemption </w:t>
      </w:r>
      <w:r>
        <w:rPr>
          <w:rFonts w:ascii="Century Gothic" w:hAnsi="Century Gothic"/>
          <w:sz w:val="22"/>
          <w:szCs w:val="22"/>
        </w:rPr>
        <w:t xml:space="preserve">and/or purchase and sale shall </w:t>
      </w:r>
      <w:r w:rsidR="005073DF">
        <w:rPr>
          <w:rFonts w:ascii="Century Gothic" w:hAnsi="Century Gothic"/>
          <w:sz w:val="22"/>
          <w:szCs w:val="22"/>
        </w:rPr>
        <w:t xml:space="preserve">have to be stipulated </w:t>
      </w:r>
      <w:r>
        <w:rPr>
          <w:rFonts w:ascii="Century Gothic" w:hAnsi="Century Gothic"/>
          <w:sz w:val="22"/>
          <w:szCs w:val="22"/>
        </w:rPr>
        <w:t xml:space="preserve">in the fund's articles of association; </w:t>
      </w:r>
    </w:p>
    <w:p w:rsidR="00CC48E4" w:rsidRDefault="00CC48E4" w:rsidP="00CC48E4">
      <w:pPr>
        <w:spacing w:line="360" w:lineRule="auto"/>
        <w:jc w:val="both"/>
        <w:rPr>
          <w:rFonts w:ascii="Century Gothic" w:hAnsi="Century Gothic"/>
          <w:sz w:val="22"/>
          <w:szCs w:val="22"/>
        </w:rPr>
      </w:pPr>
    </w:p>
    <w:p w:rsidR="00CC48E4" w:rsidRDefault="00CC48E4" w:rsidP="00CC48E4">
      <w:pPr>
        <w:spacing w:line="360" w:lineRule="auto"/>
        <w:jc w:val="both"/>
        <w:rPr>
          <w:rFonts w:ascii="Century Gothic" w:hAnsi="Century Gothic"/>
          <w:sz w:val="22"/>
          <w:szCs w:val="22"/>
        </w:rPr>
      </w:pPr>
    </w:p>
    <w:p w:rsidR="00CC48E4" w:rsidRDefault="00CC48E4" w:rsidP="00CC48E4">
      <w:pPr>
        <w:spacing w:line="360" w:lineRule="auto"/>
        <w:jc w:val="both"/>
        <w:rPr>
          <w:rFonts w:ascii="Century Gothic" w:hAnsi="Century Gothic"/>
          <w:sz w:val="22"/>
          <w:szCs w:val="22"/>
        </w:rPr>
      </w:pPr>
    </w:p>
    <w:p w:rsidR="00CC48E4" w:rsidRDefault="00CC48E4" w:rsidP="00CC48E4">
      <w:pPr>
        <w:spacing w:line="360" w:lineRule="auto"/>
        <w:jc w:val="both"/>
        <w:rPr>
          <w:rFonts w:ascii="Century Gothic" w:hAnsi="Century Gothic"/>
          <w:sz w:val="22"/>
          <w:szCs w:val="22"/>
        </w:rPr>
      </w:pPr>
    </w:p>
    <w:p w:rsidR="00D235EF" w:rsidRDefault="00D235EF" w:rsidP="00463AD0">
      <w:pPr>
        <w:numPr>
          <w:ilvl w:val="0"/>
          <w:numId w:val="13"/>
        </w:numPr>
        <w:spacing w:line="360" w:lineRule="auto"/>
        <w:jc w:val="both"/>
        <w:rPr>
          <w:rFonts w:ascii="Century Gothic" w:hAnsi="Century Gothic"/>
          <w:sz w:val="22"/>
          <w:szCs w:val="22"/>
        </w:rPr>
      </w:pPr>
      <w:r>
        <w:rPr>
          <w:rFonts w:ascii="Century Gothic" w:hAnsi="Century Gothic"/>
          <w:sz w:val="22"/>
          <w:szCs w:val="22"/>
        </w:rPr>
        <w:t xml:space="preserve">The fund shall, by virtue of the arrangements provided in the articles of association, have at least one </w:t>
      </w:r>
      <w:r w:rsidR="00B05B44">
        <w:rPr>
          <w:rFonts w:ascii="Century Gothic" w:hAnsi="Century Gothic"/>
          <w:sz w:val="22"/>
          <w:szCs w:val="22"/>
        </w:rPr>
        <w:t xml:space="preserve">administering </w:t>
      </w:r>
      <w:r w:rsidR="005224EB">
        <w:rPr>
          <w:rFonts w:ascii="Century Gothic" w:hAnsi="Century Gothic"/>
          <w:sz w:val="22"/>
          <w:szCs w:val="22"/>
        </w:rPr>
        <w:t xml:space="preserve">body </w:t>
      </w:r>
      <w:r>
        <w:rPr>
          <w:rFonts w:ascii="Century Gothic" w:hAnsi="Century Gothic"/>
          <w:sz w:val="22"/>
          <w:szCs w:val="22"/>
        </w:rPr>
        <w:t xml:space="preserve">and </w:t>
      </w:r>
      <w:r w:rsidR="00B05B44">
        <w:rPr>
          <w:rFonts w:ascii="Century Gothic" w:hAnsi="Century Gothic"/>
          <w:sz w:val="22"/>
          <w:szCs w:val="22"/>
        </w:rPr>
        <w:t xml:space="preserve">one </w:t>
      </w:r>
      <w:r w:rsidR="00463AD0">
        <w:rPr>
          <w:rFonts w:ascii="Century Gothic" w:hAnsi="Century Gothic"/>
          <w:sz w:val="22"/>
          <w:szCs w:val="22"/>
        </w:rPr>
        <w:t>supervisory</w:t>
      </w:r>
      <w:r w:rsidR="005224EB">
        <w:rPr>
          <w:rFonts w:ascii="Century Gothic" w:hAnsi="Century Gothic"/>
          <w:sz w:val="22"/>
          <w:szCs w:val="22"/>
        </w:rPr>
        <w:t xml:space="preserve"> body </w:t>
      </w:r>
      <w:r>
        <w:rPr>
          <w:rFonts w:ascii="Century Gothic" w:hAnsi="Century Gothic"/>
          <w:sz w:val="22"/>
          <w:szCs w:val="22"/>
        </w:rPr>
        <w:t>acting in the capacity of the inspector/auditor;</w:t>
      </w:r>
    </w:p>
    <w:p w:rsidR="00D235EF" w:rsidRDefault="00D235EF" w:rsidP="005224EB">
      <w:pPr>
        <w:numPr>
          <w:ilvl w:val="0"/>
          <w:numId w:val="13"/>
        </w:numPr>
        <w:spacing w:line="360" w:lineRule="auto"/>
        <w:jc w:val="both"/>
        <w:rPr>
          <w:rFonts w:ascii="Century Gothic" w:hAnsi="Century Gothic"/>
          <w:sz w:val="22"/>
          <w:szCs w:val="22"/>
        </w:rPr>
      </w:pPr>
      <w:r>
        <w:rPr>
          <w:rFonts w:ascii="Century Gothic" w:hAnsi="Century Gothic"/>
          <w:sz w:val="22"/>
          <w:szCs w:val="22"/>
        </w:rPr>
        <w:t xml:space="preserve">The functions, powers and responsibilities of the said </w:t>
      </w:r>
      <w:r w:rsidR="005224EB">
        <w:rPr>
          <w:rFonts w:ascii="Century Gothic" w:hAnsi="Century Gothic"/>
          <w:sz w:val="22"/>
          <w:szCs w:val="22"/>
        </w:rPr>
        <w:t xml:space="preserve">bodies </w:t>
      </w:r>
      <w:r>
        <w:rPr>
          <w:rFonts w:ascii="Century Gothic" w:hAnsi="Century Gothic"/>
          <w:sz w:val="22"/>
          <w:szCs w:val="22"/>
        </w:rPr>
        <w:t xml:space="preserve">and other </w:t>
      </w:r>
      <w:r w:rsidR="005224EB">
        <w:rPr>
          <w:rFonts w:ascii="Century Gothic" w:hAnsi="Century Gothic"/>
          <w:sz w:val="22"/>
          <w:szCs w:val="22"/>
        </w:rPr>
        <w:t xml:space="preserve">bodies </w:t>
      </w:r>
      <w:r>
        <w:rPr>
          <w:rFonts w:ascii="Century Gothic" w:hAnsi="Century Gothic"/>
          <w:sz w:val="22"/>
          <w:szCs w:val="22"/>
        </w:rPr>
        <w:t xml:space="preserve">such as the guarantor shall be entrusted </w:t>
      </w:r>
      <w:r w:rsidR="00E227BF">
        <w:rPr>
          <w:rFonts w:ascii="Century Gothic" w:hAnsi="Century Gothic"/>
          <w:sz w:val="22"/>
          <w:szCs w:val="22"/>
        </w:rPr>
        <w:t xml:space="preserve">to the qualified legal entities that accept positions </w:t>
      </w:r>
      <w:r>
        <w:rPr>
          <w:rFonts w:ascii="Century Gothic" w:hAnsi="Century Gothic"/>
          <w:sz w:val="22"/>
          <w:szCs w:val="22"/>
        </w:rPr>
        <w:t xml:space="preserve">in the fund. The scope of responsibilities and powers of each one of the </w:t>
      </w:r>
      <w:r w:rsidR="005224EB">
        <w:rPr>
          <w:rFonts w:ascii="Century Gothic" w:hAnsi="Century Gothic"/>
          <w:sz w:val="22"/>
          <w:szCs w:val="22"/>
        </w:rPr>
        <w:t xml:space="preserve">bodies </w:t>
      </w:r>
      <w:r>
        <w:rPr>
          <w:rFonts w:ascii="Century Gothic" w:hAnsi="Century Gothic"/>
          <w:sz w:val="22"/>
          <w:szCs w:val="22"/>
        </w:rPr>
        <w:t xml:space="preserve">shall be </w:t>
      </w:r>
      <w:r w:rsidR="00E227BF">
        <w:rPr>
          <w:rFonts w:ascii="Century Gothic" w:hAnsi="Century Gothic"/>
          <w:sz w:val="22"/>
          <w:szCs w:val="22"/>
        </w:rPr>
        <w:t xml:space="preserve">specified </w:t>
      </w:r>
      <w:r>
        <w:rPr>
          <w:rFonts w:ascii="Century Gothic" w:hAnsi="Century Gothic"/>
          <w:sz w:val="22"/>
          <w:szCs w:val="22"/>
        </w:rPr>
        <w:t xml:space="preserve">in the articles of association. The administrating </w:t>
      </w:r>
      <w:r w:rsidR="00B05B44">
        <w:rPr>
          <w:rFonts w:ascii="Century Gothic" w:hAnsi="Century Gothic"/>
          <w:sz w:val="22"/>
          <w:szCs w:val="22"/>
        </w:rPr>
        <w:t>body</w:t>
      </w:r>
      <w:r w:rsidR="005224EB">
        <w:rPr>
          <w:rFonts w:ascii="Century Gothic" w:hAnsi="Century Gothic"/>
          <w:sz w:val="22"/>
          <w:szCs w:val="22"/>
        </w:rPr>
        <w:t xml:space="preserve"> </w:t>
      </w:r>
      <w:r>
        <w:rPr>
          <w:rFonts w:ascii="Century Gothic" w:hAnsi="Century Gothic"/>
          <w:sz w:val="22"/>
          <w:szCs w:val="22"/>
        </w:rPr>
        <w:t xml:space="preserve">may be </w:t>
      </w:r>
      <w:r w:rsidR="00324A96">
        <w:rPr>
          <w:rFonts w:ascii="Century Gothic" w:hAnsi="Century Gothic"/>
          <w:sz w:val="22"/>
          <w:szCs w:val="22"/>
        </w:rPr>
        <w:t xml:space="preserve">appointed </w:t>
      </w:r>
      <w:r>
        <w:rPr>
          <w:rFonts w:ascii="Century Gothic" w:hAnsi="Century Gothic"/>
          <w:sz w:val="22"/>
          <w:szCs w:val="22"/>
        </w:rPr>
        <w:t xml:space="preserve">from among </w:t>
      </w:r>
      <w:r w:rsidR="00E227BF">
        <w:rPr>
          <w:rFonts w:ascii="Century Gothic" w:hAnsi="Century Gothic"/>
          <w:sz w:val="22"/>
          <w:szCs w:val="22"/>
        </w:rPr>
        <w:t xml:space="preserve">the </w:t>
      </w:r>
      <w:r>
        <w:rPr>
          <w:rFonts w:ascii="Century Gothic" w:hAnsi="Century Gothic"/>
          <w:sz w:val="22"/>
          <w:szCs w:val="22"/>
        </w:rPr>
        <w:t xml:space="preserve">eligible natural persons. </w:t>
      </w:r>
    </w:p>
    <w:p w:rsidR="00DB5B61" w:rsidRDefault="00D235EF" w:rsidP="00463AD0">
      <w:pPr>
        <w:numPr>
          <w:ilvl w:val="0"/>
          <w:numId w:val="13"/>
        </w:numPr>
        <w:spacing w:line="360" w:lineRule="auto"/>
        <w:jc w:val="both"/>
        <w:rPr>
          <w:rFonts w:ascii="Century Gothic" w:hAnsi="Century Gothic"/>
          <w:sz w:val="22"/>
          <w:szCs w:val="22"/>
        </w:rPr>
      </w:pPr>
      <w:r>
        <w:rPr>
          <w:rFonts w:ascii="Century Gothic" w:hAnsi="Century Gothic"/>
          <w:sz w:val="22"/>
          <w:szCs w:val="22"/>
        </w:rPr>
        <w:t xml:space="preserve">The procedures for the fund liquidation at the termination of its business or dissolution shall be subjected to the </w:t>
      </w:r>
      <w:r w:rsidR="00E227BF">
        <w:rPr>
          <w:rFonts w:ascii="Century Gothic" w:hAnsi="Century Gothic"/>
          <w:sz w:val="22"/>
          <w:szCs w:val="22"/>
        </w:rPr>
        <w:t xml:space="preserve">requirements </w:t>
      </w:r>
      <w:r>
        <w:rPr>
          <w:rFonts w:ascii="Century Gothic" w:hAnsi="Century Gothic"/>
          <w:sz w:val="22"/>
          <w:szCs w:val="22"/>
        </w:rPr>
        <w:t xml:space="preserve">set forth in the articles of association and the fund manager may also act as liquidator </w:t>
      </w:r>
      <w:r w:rsidR="00980085">
        <w:rPr>
          <w:rFonts w:ascii="Century Gothic" w:hAnsi="Century Gothic"/>
          <w:sz w:val="22"/>
          <w:szCs w:val="22"/>
        </w:rPr>
        <w:t xml:space="preserve">unless he </w:t>
      </w:r>
      <w:r w:rsidR="00E227BF">
        <w:rPr>
          <w:rFonts w:ascii="Century Gothic" w:hAnsi="Century Gothic"/>
          <w:sz w:val="22"/>
          <w:szCs w:val="22"/>
        </w:rPr>
        <w:t xml:space="preserve">forfeits his eligibility </w:t>
      </w:r>
      <w:r w:rsidR="00980085">
        <w:rPr>
          <w:rFonts w:ascii="Century Gothic" w:hAnsi="Century Gothic"/>
          <w:sz w:val="22"/>
          <w:szCs w:val="22"/>
        </w:rPr>
        <w:t xml:space="preserve">to </w:t>
      </w:r>
      <w:r w:rsidR="00E227BF">
        <w:rPr>
          <w:rFonts w:ascii="Century Gothic" w:hAnsi="Century Gothic"/>
          <w:sz w:val="22"/>
          <w:szCs w:val="22"/>
        </w:rPr>
        <w:t xml:space="preserve">run </w:t>
      </w:r>
      <w:r w:rsidR="00980085">
        <w:rPr>
          <w:rFonts w:ascii="Century Gothic" w:hAnsi="Century Gothic"/>
          <w:sz w:val="22"/>
          <w:szCs w:val="22"/>
        </w:rPr>
        <w:t xml:space="preserve">the fund. </w:t>
      </w:r>
      <w:r w:rsidR="00CC48E4">
        <w:rPr>
          <w:rFonts w:ascii="Century Gothic" w:hAnsi="Century Gothic"/>
          <w:sz w:val="22"/>
          <w:szCs w:val="22"/>
        </w:rPr>
        <w:t xml:space="preserve">The mutual funds are managed in accordance with the provisions of their articles of association. </w:t>
      </w:r>
      <w:r>
        <w:rPr>
          <w:rFonts w:ascii="Century Gothic" w:hAnsi="Century Gothic"/>
          <w:sz w:val="22"/>
          <w:szCs w:val="22"/>
        </w:rPr>
        <w:t xml:space="preserve">    </w:t>
      </w:r>
    </w:p>
    <w:p w:rsidR="00DB5B61" w:rsidRDefault="00DB5B61" w:rsidP="00DB5B61">
      <w:pPr>
        <w:spacing w:line="360" w:lineRule="auto"/>
        <w:jc w:val="both"/>
        <w:rPr>
          <w:rFonts w:ascii="Century Gothic" w:hAnsi="Century Gothic"/>
          <w:b/>
          <w:bCs/>
          <w:sz w:val="22"/>
          <w:szCs w:val="22"/>
        </w:rPr>
      </w:pPr>
    </w:p>
    <w:p w:rsidR="00DB5B61" w:rsidRDefault="00DB5B61" w:rsidP="00DB5B6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5: </w:t>
      </w:r>
    </w:p>
    <w:p w:rsidR="00DB5B61" w:rsidRDefault="00CC48E4" w:rsidP="00641F88">
      <w:pPr>
        <w:spacing w:line="360" w:lineRule="auto"/>
        <w:jc w:val="both"/>
        <w:rPr>
          <w:rFonts w:ascii="Century Gothic" w:hAnsi="Century Gothic"/>
          <w:sz w:val="22"/>
          <w:szCs w:val="22"/>
        </w:rPr>
      </w:pPr>
      <w:r>
        <w:rPr>
          <w:rFonts w:ascii="Century Gothic" w:hAnsi="Century Gothic"/>
          <w:sz w:val="22"/>
          <w:szCs w:val="22"/>
        </w:rPr>
        <w:t xml:space="preserve">Any dispute arising from investment in the funds under article (2) and their activities and accordingly the disputes among the fund's </w:t>
      </w:r>
      <w:r w:rsidR="00FE62F7">
        <w:rPr>
          <w:rFonts w:ascii="Century Gothic" w:hAnsi="Century Gothic"/>
          <w:sz w:val="22"/>
          <w:szCs w:val="22"/>
        </w:rPr>
        <w:t xml:space="preserve">bodies </w:t>
      </w:r>
      <w:r>
        <w:rPr>
          <w:rFonts w:ascii="Century Gothic" w:hAnsi="Century Gothic"/>
          <w:sz w:val="22"/>
          <w:szCs w:val="22"/>
        </w:rPr>
        <w:t xml:space="preserve">shall be </w:t>
      </w:r>
      <w:r w:rsidR="009C7681">
        <w:rPr>
          <w:rFonts w:ascii="Century Gothic" w:hAnsi="Century Gothic"/>
          <w:sz w:val="22"/>
          <w:szCs w:val="22"/>
        </w:rPr>
        <w:t xml:space="preserve">resolved </w:t>
      </w:r>
      <w:r>
        <w:rPr>
          <w:rFonts w:ascii="Century Gothic" w:hAnsi="Century Gothic"/>
          <w:sz w:val="22"/>
          <w:szCs w:val="22"/>
        </w:rPr>
        <w:t xml:space="preserve">by the arbitration board as stated in the Securities Market </w:t>
      </w:r>
      <w:r w:rsidR="00641F88">
        <w:rPr>
          <w:rFonts w:ascii="Century Gothic" w:hAnsi="Century Gothic"/>
          <w:sz w:val="22"/>
          <w:szCs w:val="22"/>
        </w:rPr>
        <w:t>Act</w:t>
      </w:r>
      <w:r>
        <w:rPr>
          <w:rFonts w:ascii="Century Gothic" w:hAnsi="Century Gothic"/>
          <w:sz w:val="22"/>
          <w:szCs w:val="22"/>
        </w:rPr>
        <w:t xml:space="preserve"> of</w:t>
      </w:r>
      <w:r w:rsidR="00641F88">
        <w:rPr>
          <w:rFonts w:ascii="Century Gothic" w:hAnsi="Century Gothic"/>
          <w:sz w:val="22"/>
          <w:szCs w:val="22"/>
        </w:rPr>
        <w:t xml:space="preserve"> the</w:t>
      </w:r>
      <w:r>
        <w:rPr>
          <w:rFonts w:ascii="Century Gothic" w:hAnsi="Century Gothic"/>
          <w:sz w:val="22"/>
          <w:szCs w:val="22"/>
        </w:rPr>
        <w:t xml:space="preserve"> I.R.I.</w:t>
      </w:r>
    </w:p>
    <w:p w:rsidR="00DB5B61" w:rsidRDefault="00DB5B61" w:rsidP="00DB5B61">
      <w:pPr>
        <w:spacing w:line="360" w:lineRule="auto"/>
        <w:jc w:val="both"/>
        <w:rPr>
          <w:rFonts w:ascii="Century Gothic" w:hAnsi="Century Gothic"/>
          <w:b/>
          <w:bCs/>
          <w:sz w:val="22"/>
          <w:szCs w:val="22"/>
          <w:u w:val="single"/>
        </w:rPr>
      </w:pPr>
    </w:p>
    <w:p w:rsidR="00DB5B61" w:rsidRDefault="00DB5B61" w:rsidP="00DB5B6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6: </w:t>
      </w:r>
    </w:p>
    <w:p w:rsidR="00CC48E4" w:rsidRDefault="00CC48E4" w:rsidP="00225677">
      <w:pPr>
        <w:spacing w:line="360" w:lineRule="auto"/>
        <w:jc w:val="both"/>
        <w:rPr>
          <w:rFonts w:ascii="Century Gothic" w:hAnsi="Century Gothic"/>
          <w:sz w:val="22"/>
          <w:szCs w:val="22"/>
        </w:rPr>
      </w:pPr>
      <w:r>
        <w:rPr>
          <w:rFonts w:ascii="Century Gothic" w:hAnsi="Century Gothic"/>
          <w:sz w:val="22"/>
          <w:szCs w:val="22"/>
        </w:rPr>
        <w:t xml:space="preserve">The article (143) of the Direct Taxation Act passed on </w:t>
      </w:r>
      <w:r w:rsidR="009C7681">
        <w:rPr>
          <w:rFonts w:ascii="Century Gothic" w:hAnsi="Century Gothic"/>
          <w:sz w:val="22"/>
          <w:szCs w:val="22"/>
        </w:rPr>
        <w:t xml:space="preserve">Feb. 22, </w:t>
      </w:r>
      <w:r w:rsidR="00225677">
        <w:rPr>
          <w:rFonts w:ascii="Century Gothic" w:hAnsi="Century Gothic"/>
          <w:sz w:val="22"/>
          <w:szCs w:val="22"/>
        </w:rPr>
        <w:t>1988</w:t>
      </w:r>
      <w:r w:rsidR="009C7681">
        <w:rPr>
          <w:rFonts w:ascii="Century Gothic" w:hAnsi="Century Gothic"/>
          <w:sz w:val="22"/>
          <w:szCs w:val="22"/>
        </w:rPr>
        <w:t xml:space="preserve"> </w:t>
      </w:r>
      <w:r>
        <w:rPr>
          <w:rFonts w:ascii="Century Gothic" w:hAnsi="Century Gothic"/>
          <w:sz w:val="22"/>
          <w:szCs w:val="22"/>
        </w:rPr>
        <w:t>and its subsequent amendments</w:t>
      </w:r>
      <w:r w:rsidR="00E20176">
        <w:rPr>
          <w:rFonts w:ascii="Century Gothic" w:hAnsi="Century Gothic"/>
          <w:sz w:val="22"/>
          <w:szCs w:val="22"/>
        </w:rPr>
        <w:t>,</w:t>
      </w:r>
      <w:r>
        <w:rPr>
          <w:rFonts w:ascii="Century Gothic" w:hAnsi="Century Gothic"/>
          <w:sz w:val="22"/>
          <w:szCs w:val="22"/>
        </w:rPr>
        <w:t xml:space="preserve"> upon deletion of note (1) thereto and retention of notes (2</w:t>
      </w:r>
      <w:r w:rsidR="00463AD0">
        <w:rPr>
          <w:rFonts w:ascii="Century Gothic" w:hAnsi="Century Gothic"/>
          <w:sz w:val="22"/>
          <w:szCs w:val="22"/>
        </w:rPr>
        <w:t>) and</w:t>
      </w:r>
      <w:r>
        <w:rPr>
          <w:rFonts w:ascii="Century Gothic" w:hAnsi="Century Gothic"/>
          <w:sz w:val="22"/>
          <w:szCs w:val="22"/>
        </w:rPr>
        <w:t xml:space="preserve"> (3) as renamed notes (1) and (2</w:t>
      </w:r>
      <w:r w:rsidR="00463AD0">
        <w:rPr>
          <w:rFonts w:ascii="Century Gothic" w:hAnsi="Century Gothic"/>
          <w:sz w:val="22"/>
          <w:szCs w:val="22"/>
        </w:rPr>
        <w:t>)</w:t>
      </w:r>
      <w:r>
        <w:rPr>
          <w:rFonts w:ascii="Century Gothic" w:hAnsi="Century Gothic"/>
          <w:sz w:val="22"/>
          <w:szCs w:val="22"/>
        </w:rPr>
        <w:t xml:space="preserve"> </w:t>
      </w:r>
      <w:r w:rsidR="00E20176">
        <w:rPr>
          <w:rFonts w:ascii="Century Gothic" w:hAnsi="Century Gothic"/>
          <w:sz w:val="22"/>
          <w:szCs w:val="22"/>
        </w:rPr>
        <w:t xml:space="preserve">has been </w:t>
      </w:r>
      <w:r>
        <w:rPr>
          <w:rFonts w:ascii="Century Gothic" w:hAnsi="Century Gothic"/>
          <w:sz w:val="22"/>
          <w:szCs w:val="22"/>
        </w:rPr>
        <w:t xml:space="preserve">modified as follows: </w:t>
      </w:r>
    </w:p>
    <w:p w:rsidR="0078362D" w:rsidRDefault="0078362D" w:rsidP="00DB5B61">
      <w:pPr>
        <w:spacing w:line="360" w:lineRule="auto"/>
        <w:ind w:left="1080" w:hanging="1080"/>
        <w:jc w:val="both"/>
        <w:rPr>
          <w:rFonts w:ascii="Century Gothic" w:hAnsi="Century Gothic"/>
          <w:b/>
          <w:bCs/>
          <w:sz w:val="22"/>
          <w:szCs w:val="22"/>
        </w:rPr>
      </w:pPr>
    </w:p>
    <w:p w:rsidR="007271C1" w:rsidRDefault="007271C1" w:rsidP="00CC48E4">
      <w:pPr>
        <w:spacing w:line="360" w:lineRule="auto"/>
        <w:ind w:left="720"/>
        <w:jc w:val="both"/>
        <w:rPr>
          <w:rFonts w:ascii="Century Gothic" w:hAnsi="Century Gothic"/>
          <w:b/>
          <w:bCs/>
          <w:sz w:val="22"/>
          <w:szCs w:val="22"/>
        </w:rPr>
      </w:pPr>
    </w:p>
    <w:p w:rsidR="007271C1" w:rsidRDefault="007271C1" w:rsidP="00CC48E4">
      <w:pPr>
        <w:spacing w:line="360" w:lineRule="auto"/>
        <w:ind w:left="720"/>
        <w:jc w:val="both"/>
        <w:rPr>
          <w:rFonts w:ascii="Century Gothic" w:hAnsi="Century Gothic"/>
          <w:b/>
          <w:bCs/>
          <w:sz w:val="22"/>
          <w:szCs w:val="22"/>
        </w:rPr>
      </w:pPr>
    </w:p>
    <w:p w:rsidR="007271C1" w:rsidRDefault="007271C1" w:rsidP="00CC48E4">
      <w:pPr>
        <w:spacing w:line="360" w:lineRule="auto"/>
        <w:ind w:left="720"/>
        <w:jc w:val="both"/>
        <w:rPr>
          <w:rFonts w:ascii="Century Gothic" w:hAnsi="Century Gothic"/>
          <w:b/>
          <w:bCs/>
          <w:sz w:val="22"/>
          <w:szCs w:val="22"/>
        </w:rPr>
      </w:pPr>
    </w:p>
    <w:p w:rsidR="007271C1" w:rsidRDefault="007271C1" w:rsidP="00CC48E4">
      <w:pPr>
        <w:spacing w:line="360" w:lineRule="auto"/>
        <w:ind w:left="720"/>
        <w:jc w:val="both"/>
        <w:rPr>
          <w:rFonts w:ascii="Century Gothic" w:hAnsi="Century Gothic"/>
          <w:b/>
          <w:bCs/>
          <w:sz w:val="22"/>
          <w:szCs w:val="22"/>
        </w:rPr>
      </w:pPr>
    </w:p>
    <w:p w:rsidR="00CC48E4" w:rsidRDefault="00CC48E4" w:rsidP="00463AD0">
      <w:pPr>
        <w:spacing w:line="360" w:lineRule="auto"/>
        <w:ind w:left="720"/>
        <w:jc w:val="both"/>
        <w:rPr>
          <w:rFonts w:ascii="Century Gothic" w:hAnsi="Century Gothic"/>
          <w:sz w:val="22"/>
          <w:szCs w:val="22"/>
        </w:rPr>
      </w:pPr>
      <w:r w:rsidRPr="00CC48E4">
        <w:rPr>
          <w:rFonts w:ascii="Century Gothic" w:hAnsi="Century Gothic"/>
          <w:b/>
          <w:bCs/>
          <w:sz w:val="22"/>
          <w:szCs w:val="22"/>
        </w:rPr>
        <w:t>Article 143:</w:t>
      </w:r>
      <w:r>
        <w:rPr>
          <w:rFonts w:ascii="Century Gothic" w:hAnsi="Century Gothic"/>
          <w:sz w:val="22"/>
          <w:szCs w:val="22"/>
        </w:rPr>
        <w:t xml:space="preserve"> </w:t>
      </w:r>
      <w:r w:rsidR="00463AD0">
        <w:rPr>
          <w:rFonts w:ascii="Century Gothic" w:hAnsi="Century Gothic"/>
          <w:sz w:val="22"/>
          <w:szCs w:val="22"/>
        </w:rPr>
        <w:t>Ten</w:t>
      </w:r>
      <w:r>
        <w:rPr>
          <w:rFonts w:ascii="Century Gothic" w:hAnsi="Century Gothic"/>
          <w:sz w:val="22"/>
          <w:szCs w:val="22"/>
        </w:rPr>
        <w:t xml:space="preserve"> percent (10%) of income tax gained from sale of the commodities listed on the </w:t>
      </w:r>
      <w:r w:rsidR="00900FB6">
        <w:rPr>
          <w:rFonts w:ascii="Century Gothic" w:hAnsi="Century Gothic"/>
          <w:sz w:val="22"/>
          <w:szCs w:val="22"/>
        </w:rPr>
        <w:t>c</w:t>
      </w:r>
      <w:r>
        <w:rPr>
          <w:rFonts w:ascii="Century Gothic" w:hAnsi="Century Gothic"/>
          <w:sz w:val="22"/>
          <w:szCs w:val="22"/>
        </w:rPr>
        <w:t xml:space="preserve">ommodity </w:t>
      </w:r>
      <w:r w:rsidR="00900FB6">
        <w:rPr>
          <w:rFonts w:ascii="Century Gothic" w:hAnsi="Century Gothic"/>
          <w:sz w:val="22"/>
          <w:szCs w:val="22"/>
        </w:rPr>
        <w:t>e</w:t>
      </w:r>
      <w:r>
        <w:rPr>
          <w:rFonts w:ascii="Century Gothic" w:hAnsi="Century Gothic"/>
          <w:sz w:val="22"/>
          <w:szCs w:val="22"/>
        </w:rPr>
        <w:t xml:space="preserve">xchanges and ten percent (10%) of the income tax of the companies whose shares have been listed </w:t>
      </w:r>
      <w:r w:rsidR="00900FB6">
        <w:rPr>
          <w:rFonts w:ascii="Century Gothic" w:hAnsi="Century Gothic"/>
          <w:sz w:val="22"/>
          <w:szCs w:val="22"/>
        </w:rPr>
        <w:t xml:space="preserve">for trading </w:t>
      </w:r>
      <w:r>
        <w:rPr>
          <w:rFonts w:ascii="Century Gothic" w:hAnsi="Century Gothic"/>
          <w:sz w:val="22"/>
          <w:szCs w:val="22"/>
        </w:rPr>
        <w:t xml:space="preserve">on the domestic or foreign </w:t>
      </w:r>
      <w:r w:rsidR="00900FB6">
        <w:rPr>
          <w:rFonts w:ascii="Century Gothic" w:hAnsi="Century Gothic"/>
          <w:sz w:val="22"/>
          <w:szCs w:val="22"/>
        </w:rPr>
        <w:t>e</w:t>
      </w:r>
      <w:r>
        <w:rPr>
          <w:rFonts w:ascii="Century Gothic" w:hAnsi="Century Gothic"/>
          <w:sz w:val="22"/>
          <w:szCs w:val="22"/>
        </w:rPr>
        <w:t xml:space="preserve">xchanges and five percent (5%) of the income tax of the companies whose shares have been listed for trading on the domestic or foreign OTC markets shall be exempted </w:t>
      </w:r>
      <w:r w:rsidR="00900FB6">
        <w:rPr>
          <w:rFonts w:ascii="Century Gothic" w:hAnsi="Century Gothic"/>
          <w:sz w:val="22"/>
          <w:szCs w:val="22"/>
        </w:rPr>
        <w:t xml:space="preserve">with the approval of the Organization </w:t>
      </w:r>
      <w:r>
        <w:rPr>
          <w:rFonts w:ascii="Century Gothic" w:hAnsi="Century Gothic"/>
          <w:sz w:val="22"/>
          <w:szCs w:val="22"/>
        </w:rPr>
        <w:t xml:space="preserve">as of the listing year to the year </w:t>
      </w:r>
      <w:r w:rsidR="006E151F">
        <w:rPr>
          <w:rFonts w:ascii="Century Gothic" w:hAnsi="Century Gothic"/>
          <w:sz w:val="22"/>
          <w:szCs w:val="22"/>
        </w:rPr>
        <w:t>during</w:t>
      </w:r>
      <w:r>
        <w:rPr>
          <w:rFonts w:ascii="Century Gothic" w:hAnsi="Century Gothic"/>
          <w:sz w:val="22"/>
          <w:szCs w:val="22"/>
        </w:rPr>
        <w:t xml:space="preserve"> which they have not been delisted from the listed companies on such exchanges or markets</w:t>
      </w:r>
      <w:r w:rsidR="00900FB6">
        <w:rPr>
          <w:rFonts w:ascii="Century Gothic" w:hAnsi="Century Gothic"/>
          <w:sz w:val="22"/>
          <w:szCs w:val="22"/>
        </w:rPr>
        <w:t>.</w:t>
      </w:r>
      <w:r>
        <w:rPr>
          <w:rFonts w:ascii="Century Gothic" w:hAnsi="Century Gothic"/>
          <w:sz w:val="22"/>
          <w:szCs w:val="22"/>
        </w:rPr>
        <w:t xml:space="preserve"> The companies whose shares are listed for trading on the domestic or foreign exchanges or on the domestic or foreign OTC markets </w:t>
      </w:r>
      <w:r w:rsidR="00900FB6">
        <w:rPr>
          <w:rFonts w:ascii="Century Gothic" w:hAnsi="Century Gothic"/>
          <w:sz w:val="22"/>
          <w:szCs w:val="22"/>
        </w:rPr>
        <w:t xml:space="preserve">shall enjoy </w:t>
      </w:r>
      <w:r w:rsidR="00A07520">
        <w:rPr>
          <w:rFonts w:ascii="Century Gothic" w:hAnsi="Century Gothic"/>
          <w:sz w:val="22"/>
          <w:szCs w:val="22"/>
        </w:rPr>
        <w:t xml:space="preserve">a </w:t>
      </w:r>
      <w:r w:rsidR="00900FB6">
        <w:rPr>
          <w:rFonts w:ascii="Century Gothic" w:hAnsi="Century Gothic"/>
          <w:sz w:val="22"/>
          <w:szCs w:val="22"/>
        </w:rPr>
        <w:t xml:space="preserve">tax exemption for double the </w:t>
      </w:r>
      <w:r>
        <w:rPr>
          <w:rFonts w:ascii="Century Gothic" w:hAnsi="Century Gothic"/>
          <w:sz w:val="22"/>
          <w:szCs w:val="22"/>
        </w:rPr>
        <w:t xml:space="preserve">said exemptions provided that they have at least twenty percent (20%) </w:t>
      </w:r>
      <w:r w:rsidR="000A6A94">
        <w:rPr>
          <w:rFonts w:ascii="Century Gothic" w:hAnsi="Century Gothic"/>
          <w:sz w:val="22"/>
          <w:szCs w:val="22"/>
        </w:rPr>
        <w:t>free</w:t>
      </w:r>
      <w:r>
        <w:rPr>
          <w:rFonts w:ascii="Century Gothic" w:hAnsi="Century Gothic"/>
          <w:sz w:val="22"/>
          <w:szCs w:val="22"/>
        </w:rPr>
        <w:t xml:space="preserve">–floating shares at the end of their fiscal year as confirmed by the Organization.   </w:t>
      </w:r>
    </w:p>
    <w:p w:rsidR="00CC48E4" w:rsidRDefault="00CC48E4" w:rsidP="00DB5B61">
      <w:pPr>
        <w:spacing w:line="360" w:lineRule="auto"/>
        <w:ind w:left="1080" w:hanging="1080"/>
        <w:jc w:val="both"/>
        <w:rPr>
          <w:rFonts w:ascii="Century Gothic" w:hAnsi="Century Gothic"/>
          <w:b/>
          <w:bCs/>
          <w:sz w:val="22"/>
          <w:szCs w:val="22"/>
        </w:rPr>
      </w:pPr>
    </w:p>
    <w:p w:rsidR="00DB5B61" w:rsidRDefault="00DB5B61" w:rsidP="00DB5B6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7: </w:t>
      </w:r>
    </w:p>
    <w:p w:rsidR="00DB5B61" w:rsidRDefault="009F4693" w:rsidP="0091295F">
      <w:pPr>
        <w:spacing w:line="360" w:lineRule="auto"/>
        <w:jc w:val="both"/>
        <w:rPr>
          <w:rFonts w:ascii="Century Gothic" w:hAnsi="Century Gothic"/>
          <w:sz w:val="22"/>
          <w:szCs w:val="22"/>
        </w:rPr>
      </w:pPr>
      <w:r>
        <w:rPr>
          <w:rFonts w:ascii="Century Gothic" w:hAnsi="Century Gothic"/>
          <w:sz w:val="22"/>
          <w:szCs w:val="22"/>
        </w:rPr>
        <w:t xml:space="preserve">The text below along with four notes thereto is added as article (143 bis) to the Direct Taxation Act passed in 1988: </w:t>
      </w:r>
    </w:p>
    <w:p w:rsidR="00184D50" w:rsidRDefault="00184D50" w:rsidP="00463AD0">
      <w:pPr>
        <w:spacing w:line="360" w:lineRule="auto"/>
        <w:ind w:left="720"/>
        <w:jc w:val="both"/>
        <w:rPr>
          <w:rFonts w:ascii="Century Gothic" w:hAnsi="Century Gothic"/>
          <w:sz w:val="22"/>
          <w:szCs w:val="22"/>
        </w:rPr>
      </w:pPr>
      <w:r w:rsidRPr="00CC48E4">
        <w:rPr>
          <w:rFonts w:ascii="Century Gothic" w:hAnsi="Century Gothic"/>
          <w:b/>
          <w:bCs/>
          <w:sz w:val="22"/>
          <w:szCs w:val="22"/>
        </w:rPr>
        <w:t>Article 143</w:t>
      </w:r>
      <w:r>
        <w:rPr>
          <w:rFonts w:ascii="Century Gothic" w:hAnsi="Century Gothic"/>
          <w:b/>
          <w:bCs/>
          <w:sz w:val="22"/>
          <w:szCs w:val="22"/>
        </w:rPr>
        <w:t xml:space="preserve"> (bis)</w:t>
      </w:r>
      <w:r w:rsidRPr="00CC48E4">
        <w:rPr>
          <w:rFonts w:ascii="Century Gothic" w:hAnsi="Century Gothic"/>
          <w:b/>
          <w:bCs/>
          <w:sz w:val="22"/>
          <w:szCs w:val="22"/>
        </w:rPr>
        <w:t>:</w:t>
      </w:r>
      <w:r>
        <w:rPr>
          <w:rFonts w:ascii="Century Gothic" w:hAnsi="Century Gothic"/>
          <w:sz w:val="22"/>
          <w:szCs w:val="22"/>
        </w:rPr>
        <w:t xml:space="preserve"> </w:t>
      </w:r>
      <w:r w:rsidR="00463AD0">
        <w:rPr>
          <w:rFonts w:ascii="Century Gothic" w:hAnsi="Century Gothic"/>
          <w:sz w:val="22"/>
          <w:szCs w:val="22"/>
        </w:rPr>
        <w:t>O</w:t>
      </w:r>
      <w:r>
        <w:rPr>
          <w:rFonts w:ascii="Century Gothic" w:hAnsi="Century Gothic"/>
          <w:sz w:val="22"/>
          <w:szCs w:val="22"/>
        </w:rPr>
        <w:t xml:space="preserve">ut of any </w:t>
      </w:r>
      <w:r w:rsidR="00D64019">
        <w:rPr>
          <w:rFonts w:ascii="Century Gothic" w:hAnsi="Century Gothic"/>
          <w:sz w:val="22"/>
          <w:szCs w:val="22"/>
        </w:rPr>
        <w:t xml:space="preserve">transfer of </w:t>
      </w:r>
      <w:r>
        <w:rPr>
          <w:rFonts w:ascii="Century Gothic" w:hAnsi="Century Gothic"/>
          <w:sz w:val="22"/>
          <w:szCs w:val="22"/>
        </w:rPr>
        <w:t xml:space="preserve">shares and preemption rights of companies, whether Iranian or foreign, on the exchanges </w:t>
      </w:r>
      <w:r w:rsidR="000A6A94">
        <w:rPr>
          <w:rFonts w:ascii="Century Gothic" w:hAnsi="Century Gothic"/>
          <w:sz w:val="22"/>
          <w:szCs w:val="22"/>
        </w:rPr>
        <w:t xml:space="preserve">or </w:t>
      </w:r>
      <w:r>
        <w:rPr>
          <w:rFonts w:ascii="Century Gothic" w:hAnsi="Century Gothic"/>
          <w:sz w:val="22"/>
          <w:szCs w:val="22"/>
        </w:rPr>
        <w:t xml:space="preserve">on the licensed OTC markets, a flat tax for the amount of half percent (0.5%) of the sales value of shares and preemption </w:t>
      </w:r>
      <w:r w:rsidR="009B209A">
        <w:rPr>
          <w:rFonts w:ascii="Century Gothic" w:hAnsi="Century Gothic"/>
          <w:sz w:val="22"/>
          <w:szCs w:val="22"/>
        </w:rPr>
        <w:t>rights shall be collected and</w:t>
      </w:r>
      <w:r w:rsidR="00B627EF">
        <w:rPr>
          <w:rFonts w:ascii="Century Gothic" w:hAnsi="Century Gothic"/>
          <w:sz w:val="22"/>
          <w:szCs w:val="22"/>
        </w:rPr>
        <w:t>,</w:t>
      </w:r>
      <w:r w:rsidR="009B209A">
        <w:rPr>
          <w:rFonts w:ascii="Century Gothic" w:hAnsi="Century Gothic"/>
          <w:sz w:val="22"/>
          <w:szCs w:val="22"/>
        </w:rPr>
        <w:t xml:space="preserve"> in this respect, no more funds </w:t>
      </w:r>
      <w:r w:rsidR="00B627EF">
        <w:rPr>
          <w:rFonts w:ascii="Century Gothic" w:hAnsi="Century Gothic"/>
          <w:sz w:val="22"/>
          <w:szCs w:val="22"/>
        </w:rPr>
        <w:t xml:space="preserve">shall be </w:t>
      </w:r>
      <w:r w:rsidR="009B209A">
        <w:rPr>
          <w:rFonts w:ascii="Century Gothic" w:hAnsi="Century Gothic"/>
          <w:sz w:val="22"/>
          <w:szCs w:val="22"/>
        </w:rPr>
        <w:t xml:space="preserve">claimed as income tax for </w:t>
      </w:r>
      <w:r w:rsidR="00D64019">
        <w:rPr>
          <w:rFonts w:ascii="Century Gothic" w:hAnsi="Century Gothic"/>
          <w:sz w:val="22"/>
          <w:szCs w:val="22"/>
        </w:rPr>
        <w:t xml:space="preserve">transfer of </w:t>
      </w:r>
      <w:r w:rsidR="009B209A">
        <w:rPr>
          <w:rFonts w:ascii="Century Gothic" w:hAnsi="Century Gothic"/>
          <w:sz w:val="22"/>
          <w:szCs w:val="22"/>
        </w:rPr>
        <w:t xml:space="preserve">shares and preemption rights and value added tax for purchase and sale. The brokers of exchanges and OTC markets shall have to collect the given tax from </w:t>
      </w:r>
      <w:r w:rsidR="00B627EF">
        <w:rPr>
          <w:rFonts w:ascii="Century Gothic" w:hAnsi="Century Gothic"/>
          <w:sz w:val="22"/>
          <w:szCs w:val="22"/>
        </w:rPr>
        <w:t>the transfer</w:t>
      </w:r>
      <w:r w:rsidR="00463AD0">
        <w:rPr>
          <w:rFonts w:ascii="Century Gothic" w:hAnsi="Century Gothic"/>
          <w:sz w:val="22"/>
          <w:szCs w:val="22"/>
        </w:rPr>
        <w:t>o</w:t>
      </w:r>
      <w:r w:rsidR="00B627EF">
        <w:rPr>
          <w:rFonts w:ascii="Century Gothic" w:hAnsi="Century Gothic"/>
          <w:sz w:val="22"/>
          <w:szCs w:val="22"/>
        </w:rPr>
        <w:t xml:space="preserve">r </w:t>
      </w:r>
      <w:r w:rsidR="009B209A">
        <w:rPr>
          <w:rFonts w:ascii="Century Gothic" w:hAnsi="Century Gothic"/>
          <w:sz w:val="22"/>
          <w:szCs w:val="22"/>
        </w:rPr>
        <w:t xml:space="preserve">during each transfer and pay it into the account which has been </w:t>
      </w:r>
      <w:r w:rsidR="00A94F3E">
        <w:rPr>
          <w:rFonts w:ascii="Century Gothic" w:hAnsi="Century Gothic"/>
          <w:sz w:val="22"/>
          <w:szCs w:val="22"/>
        </w:rPr>
        <w:t xml:space="preserve">assigned </w:t>
      </w:r>
      <w:r w:rsidR="009B209A">
        <w:rPr>
          <w:rFonts w:ascii="Century Gothic" w:hAnsi="Century Gothic"/>
          <w:sz w:val="22"/>
          <w:szCs w:val="22"/>
        </w:rPr>
        <w:t>by the State Tax</w:t>
      </w:r>
      <w:r w:rsidR="00B627EF">
        <w:rPr>
          <w:rFonts w:ascii="Century Gothic" w:hAnsi="Century Gothic"/>
          <w:sz w:val="22"/>
          <w:szCs w:val="22"/>
        </w:rPr>
        <w:t xml:space="preserve">ation </w:t>
      </w:r>
      <w:r w:rsidR="009B209A">
        <w:rPr>
          <w:rFonts w:ascii="Century Gothic" w:hAnsi="Century Gothic"/>
          <w:sz w:val="22"/>
          <w:szCs w:val="22"/>
        </w:rPr>
        <w:t>Organization and shall, within ten days from the transfer date, send the relevant receipt along wi</w:t>
      </w:r>
      <w:r w:rsidR="00B627EF">
        <w:rPr>
          <w:rFonts w:ascii="Century Gothic" w:hAnsi="Century Gothic"/>
          <w:sz w:val="22"/>
          <w:szCs w:val="22"/>
        </w:rPr>
        <w:t>th a list containing the number</w:t>
      </w:r>
      <w:r w:rsidR="009B209A">
        <w:rPr>
          <w:rFonts w:ascii="Century Gothic" w:hAnsi="Century Gothic"/>
          <w:sz w:val="22"/>
          <w:szCs w:val="22"/>
        </w:rPr>
        <w:t xml:space="preserve"> and amount of shares sold and the preemption rights so transferred to the local Tax Affairs Department.  </w:t>
      </w:r>
    </w:p>
    <w:p w:rsidR="00835559" w:rsidRDefault="00835559" w:rsidP="00DB5B61"/>
    <w:p w:rsidR="006B1204" w:rsidRDefault="00641C90" w:rsidP="00641F88">
      <w:pPr>
        <w:spacing w:line="360" w:lineRule="auto"/>
        <w:ind w:left="720"/>
        <w:jc w:val="both"/>
        <w:rPr>
          <w:rFonts w:ascii="Century Gothic" w:hAnsi="Century Gothic"/>
          <w:sz w:val="22"/>
          <w:szCs w:val="22"/>
        </w:rPr>
      </w:pPr>
      <w:r>
        <w:rPr>
          <w:rFonts w:ascii="Century Gothic" w:hAnsi="Century Gothic"/>
          <w:b/>
          <w:bCs/>
          <w:sz w:val="22"/>
          <w:szCs w:val="22"/>
        </w:rPr>
        <w:lastRenderedPageBreak/>
        <w:t>Note 1</w:t>
      </w:r>
      <w:r w:rsidRPr="00CC48E4">
        <w:rPr>
          <w:rFonts w:ascii="Century Gothic" w:hAnsi="Century Gothic"/>
          <w:b/>
          <w:bCs/>
          <w:sz w:val="22"/>
          <w:szCs w:val="22"/>
        </w:rPr>
        <w:t>:</w:t>
      </w:r>
      <w:r>
        <w:rPr>
          <w:rFonts w:ascii="Century Gothic" w:hAnsi="Century Gothic"/>
          <w:sz w:val="22"/>
          <w:szCs w:val="22"/>
        </w:rPr>
        <w:t xml:space="preserve"> </w:t>
      </w:r>
      <w:r w:rsidR="006B1204">
        <w:rPr>
          <w:rFonts w:ascii="Century Gothic" w:hAnsi="Century Gothic"/>
          <w:sz w:val="22"/>
          <w:szCs w:val="22"/>
        </w:rPr>
        <w:t xml:space="preserve">All incomes of the mutual fund within the context of this law and all incomes gained from investment in securities under paragraph (24) of article (1) of the Securities Market </w:t>
      </w:r>
      <w:r w:rsidR="00641F88">
        <w:rPr>
          <w:rFonts w:ascii="Century Gothic" w:hAnsi="Century Gothic"/>
          <w:sz w:val="22"/>
          <w:szCs w:val="22"/>
        </w:rPr>
        <w:t>Act</w:t>
      </w:r>
      <w:r w:rsidR="006B1204">
        <w:rPr>
          <w:rFonts w:ascii="Century Gothic" w:hAnsi="Century Gothic"/>
          <w:sz w:val="22"/>
          <w:szCs w:val="22"/>
        </w:rPr>
        <w:t xml:space="preserve"> of</w:t>
      </w:r>
      <w:r w:rsidR="00641F88">
        <w:rPr>
          <w:rFonts w:ascii="Century Gothic" w:hAnsi="Century Gothic"/>
          <w:sz w:val="22"/>
          <w:szCs w:val="22"/>
        </w:rPr>
        <w:t xml:space="preserve"> the</w:t>
      </w:r>
      <w:r w:rsidR="006B1204">
        <w:rPr>
          <w:rFonts w:ascii="Century Gothic" w:hAnsi="Century Gothic"/>
          <w:sz w:val="22"/>
          <w:szCs w:val="22"/>
        </w:rPr>
        <w:t xml:space="preserve"> I.R.I.</w:t>
      </w:r>
      <w:r w:rsidR="00641F88">
        <w:rPr>
          <w:rFonts w:ascii="Century Gothic" w:hAnsi="Century Gothic"/>
          <w:sz w:val="22"/>
          <w:szCs w:val="22"/>
        </w:rPr>
        <w:t>,</w:t>
      </w:r>
      <w:r w:rsidR="006B1204">
        <w:rPr>
          <w:rFonts w:ascii="Century Gothic" w:hAnsi="Century Gothic"/>
          <w:sz w:val="22"/>
          <w:szCs w:val="22"/>
        </w:rPr>
        <w:t xml:space="preserve"> ratified in 2005 and the proceeds derived from transfer of such securities or the proceeds earned from issuance and </w:t>
      </w:r>
      <w:r w:rsidR="00D64019">
        <w:rPr>
          <w:rFonts w:ascii="Century Gothic" w:hAnsi="Century Gothic"/>
          <w:sz w:val="22"/>
          <w:szCs w:val="22"/>
        </w:rPr>
        <w:t xml:space="preserve">redemption </w:t>
      </w:r>
      <w:r w:rsidR="006B1204">
        <w:rPr>
          <w:rFonts w:ascii="Century Gothic" w:hAnsi="Century Gothic"/>
          <w:sz w:val="22"/>
          <w:szCs w:val="22"/>
        </w:rPr>
        <w:t xml:space="preserve">of them shall be exempt from income tax </w:t>
      </w:r>
      <w:r w:rsidR="00B627EF">
        <w:rPr>
          <w:rFonts w:ascii="Century Gothic" w:hAnsi="Century Gothic"/>
          <w:sz w:val="22"/>
          <w:szCs w:val="22"/>
        </w:rPr>
        <w:t>and value-added tax as per the V</w:t>
      </w:r>
      <w:r w:rsidR="006B1204">
        <w:rPr>
          <w:rFonts w:ascii="Century Gothic" w:hAnsi="Century Gothic"/>
          <w:sz w:val="22"/>
          <w:szCs w:val="22"/>
        </w:rPr>
        <w:t>alue-</w:t>
      </w:r>
      <w:r w:rsidR="00B627EF">
        <w:rPr>
          <w:rFonts w:ascii="Century Gothic" w:hAnsi="Century Gothic"/>
          <w:sz w:val="22"/>
          <w:szCs w:val="22"/>
        </w:rPr>
        <w:t>A</w:t>
      </w:r>
      <w:r w:rsidR="006B1204">
        <w:rPr>
          <w:rFonts w:ascii="Century Gothic" w:hAnsi="Century Gothic"/>
          <w:sz w:val="22"/>
          <w:szCs w:val="22"/>
        </w:rPr>
        <w:t xml:space="preserve">dded Tax </w:t>
      </w:r>
      <w:r w:rsidR="00B627EF">
        <w:rPr>
          <w:rFonts w:ascii="Century Gothic" w:hAnsi="Century Gothic"/>
          <w:sz w:val="22"/>
          <w:szCs w:val="22"/>
        </w:rPr>
        <w:t xml:space="preserve">Act </w:t>
      </w:r>
      <w:r w:rsidR="006B1204">
        <w:rPr>
          <w:rFonts w:ascii="Century Gothic" w:hAnsi="Century Gothic"/>
          <w:sz w:val="22"/>
          <w:szCs w:val="22"/>
        </w:rPr>
        <w:t xml:space="preserve">passed on </w:t>
      </w:r>
      <w:r w:rsidR="00B627EF">
        <w:rPr>
          <w:rFonts w:ascii="Century Gothic" w:hAnsi="Century Gothic"/>
          <w:sz w:val="22"/>
          <w:szCs w:val="22"/>
        </w:rPr>
        <w:t xml:space="preserve">May 23, 2008 </w:t>
      </w:r>
      <w:r w:rsidR="006B1204">
        <w:rPr>
          <w:rFonts w:ascii="Century Gothic" w:hAnsi="Century Gothic"/>
          <w:sz w:val="22"/>
          <w:szCs w:val="22"/>
        </w:rPr>
        <w:t xml:space="preserve">and no tax whatsoever shall be claimed for the transfer, issuance and </w:t>
      </w:r>
      <w:r w:rsidR="00D64019">
        <w:rPr>
          <w:rFonts w:ascii="Century Gothic" w:hAnsi="Century Gothic"/>
          <w:sz w:val="22"/>
          <w:szCs w:val="22"/>
        </w:rPr>
        <w:t xml:space="preserve">redemption </w:t>
      </w:r>
      <w:r w:rsidR="006B1204">
        <w:rPr>
          <w:rFonts w:ascii="Century Gothic" w:hAnsi="Century Gothic"/>
          <w:sz w:val="22"/>
          <w:szCs w:val="22"/>
        </w:rPr>
        <w:t>of the foregoing securities.</w:t>
      </w:r>
    </w:p>
    <w:p w:rsidR="004C0DBE" w:rsidRDefault="004C0DBE" w:rsidP="006B1204">
      <w:pPr>
        <w:spacing w:line="360" w:lineRule="auto"/>
        <w:ind w:left="720"/>
        <w:jc w:val="both"/>
        <w:rPr>
          <w:rFonts w:ascii="Century Gothic" w:hAnsi="Century Gothic"/>
          <w:b/>
          <w:bCs/>
          <w:sz w:val="22"/>
          <w:szCs w:val="22"/>
        </w:rPr>
      </w:pPr>
    </w:p>
    <w:p w:rsidR="006B1204" w:rsidRDefault="004C0DBE" w:rsidP="00463AD0">
      <w:pPr>
        <w:spacing w:line="360" w:lineRule="auto"/>
        <w:ind w:left="720"/>
        <w:jc w:val="both"/>
        <w:rPr>
          <w:rFonts w:ascii="Century Gothic" w:hAnsi="Century Gothic"/>
          <w:sz w:val="22"/>
          <w:szCs w:val="22"/>
        </w:rPr>
      </w:pPr>
      <w:r>
        <w:rPr>
          <w:rFonts w:ascii="Century Gothic" w:hAnsi="Century Gothic"/>
          <w:b/>
          <w:bCs/>
          <w:sz w:val="22"/>
          <w:szCs w:val="22"/>
        </w:rPr>
        <w:t>Note 2</w:t>
      </w:r>
      <w:r w:rsidR="006B1204" w:rsidRPr="00CC48E4">
        <w:rPr>
          <w:rFonts w:ascii="Century Gothic" w:hAnsi="Century Gothic"/>
          <w:b/>
          <w:bCs/>
          <w:sz w:val="22"/>
          <w:szCs w:val="22"/>
        </w:rPr>
        <w:t>:</w:t>
      </w:r>
      <w:r w:rsidR="006B1204">
        <w:rPr>
          <w:rFonts w:ascii="Century Gothic" w:hAnsi="Century Gothic"/>
          <w:sz w:val="22"/>
          <w:szCs w:val="22"/>
        </w:rPr>
        <w:t xml:space="preserve"> </w:t>
      </w:r>
      <w:r w:rsidR="00D130BC">
        <w:rPr>
          <w:rFonts w:ascii="Century Gothic" w:hAnsi="Century Gothic"/>
          <w:sz w:val="22"/>
          <w:szCs w:val="22"/>
        </w:rPr>
        <w:t xml:space="preserve">The </w:t>
      </w:r>
      <w:r w:rsidR="00D64019">
        <w:rPr>
          <w:rFonts w:ascii="Century Gothic" w:hAnsi="Century Gothic"/>
          <w:sz w:val="22"/>
          <w:szCs w:val="22"/>
        </w:rPr>
        <w:t xml:space="preserve">profit </w:t>
      </w:r>
      <w:r w:rsidR="00D130BC">
        <w:rPr>
          <w:rFonts w:ascii="Century Gothic" w:hAnsi="Century Gothic"/>
          <w:sz w:val="22"/>
          <w:szCs w:val="22"/>
        </w:rPr>
        <w:t xml:space="preserve">and fees paid or allocated for securities </w:t>
      </w:r>
      <w:r w:rsidR="00B627EF">
        <w:rPr>
          <w:rFonts w:ascii="Century Gothic" w:hAnsi="Century Gothic"/>
          <w:sz w:val="22"/>
          <w:szCs w:val="22"/>
        </w:rPr>
        <w:t xml:space="preserve">as </w:t>
      </w:r>
      <w:r w:rsidR="00D130BC">
        <w:rPr>
          <w:rFonts w:ascii="Century Gothic" w:hAnsi="Century Gothic"/>
          <w:sz w:val="22"/>
          <w:szCs w:val="22"/>
        </w:rPr>
        <w:t xml:space="preserve">referred to in note </w:t>
      </w:r>
      <w:r w:rsidR="00B627EF">
        <w:rPr>
          <w:rFonts w:ascii="Century Gothic" w:hAnsi="Century Gothic"/>
          <w:sz w:val="22"/>
          <w:szCs w:val="22"/>
        </w:rPr>
        <w:t>(</w:t>
      </w:r>
      <w:r w:rsidR="00D130BC">
        <w:rPr>
          <w:rFonts w:ascii="Century Gothic" w:hAnsi="Century Gothic"/>
          <w:sz w:val="22"/>
          <w:szCs w:val="22"/>
        </w:rPr>
        <w:t>1</w:t>
      </w:r>
      <w:r w:rsidR="00B627EF">
        <w:rPr>
          <w:rFonts w:ascii="Century Gothic" w:hAnsi="Century Gothic"/>
          <w:sz w:val="22"/>
          <w:szCs w:val="22"/>
        </w:rPr>
        <w:t>)</w:t>
      </w:r>
      <w:r w:rsidR="00D130BC">
        <w:rPr>
          <w:rFonts w:ascii="Century Gothic" w:hAnsi="Century Gothic"/>
          <w:sz w:val="22"/>
          <w:szCs w:val="22"/>
        </w:rPr>
        <w:t xml:space="preserve"> of this article, excluding the dividend and shares of companies</w:t>
      </w:r>
      <w:r w:rsidR="008F13EB">
        <w:rPr>
          <w:rFonts w:ascii="Century Gothic" w:hAnsi="Century Gothic"/>
          <w:sz w:val="22"/>
          <w:szCs w:val="22"/>
        </w:rPr>
        <w:t>,</w:t>
      </w:r>
      <w:r w:rsidR="00D130BC">
        <w:rPr>
          <w:rFonts w:ascii="Century Gothic" w:hAnsi="Century Gothic"/>
          <w:sz w:val="22"/>
          <w:szCs w:val="22"/>
        </w:rPr>
        <w:t xml:space="preserve"> and </w:t>
      </w:r>
      <w:r w:rsidR="00B627EF">
        <w:rPr>
          <w:rFonts w:ascii="Century Gothic" w:hAnsi="Century Gothic"/>
          <w:sz w:val="22"/>
          <w:szCs w:val="22"/>
        </w:rPr>
        <w:t xml:space="preserve">the </w:t>
      </w:r>
      <w:r w:rsidR="00D64019">
        <w:rPr>
          <w:rFonts w:ascii="Century Gothic" w:hAnsi="Century Gothic"/>
          <w:sz w:val="22"/>
          <w:szCs w:val="22"/>
        </w:rPr>
        <w:t xml:space="preserve">profit gained </w:t>
      </w:r>
      <w:r w:rsidR="00D130BC">
        <w:rPr>
          <w:rFonts w:ascii="Century Gothic" w:hAnsi="Century Gothic"/>
          <w:sz w:val="22"/>
          <w:szCs w:val="22"/>
        </w:rPr>
        <w:t xml:space="preserve">on investment </w:t>
      </w:r>
      <w:r w:rsidR="00463AD0">
        <w:rPr>
          <w:rFonts w:ascii="Century Gothic" w:hAnsi="Century Gothic"/>
          <w:sz w:val="22"/>
          <w:szCs w:val="22"/>
        </w:rPr>
        <w:t>units</w:t>
      </w:r>
      <w:r w:rsidR="00D130BC">
        <w:rPr>
          <w:rFonts w:ascii="Century Gothic" w:hAnsi="Century Gothic"/>
          <w:sz w:val="22"/>
          <w:szCs w:val="22"/>
        </w:rPr>
        <w:t xml:space="preserve"> of funds, on the condition of registering </w:t>
      </w:r>
      <w:r w:rsidR="00FB32E5">
        <w:rPr>
          <w:rFonts w:ascii="Century Gothic" w:hAnsi="Century Gothic"/>
          <w:sz w:val="22"/>
          <w:szCs w:val="22"/>
        </w:rPr>
        <w:t xml:space="preserve">these </w:t>
      </w:r>
      <w:r w:rsidR="00D130BC">
        <w:rPr>
          <w:rFonts w:ascii="Century Gothic" w:hAnsi="Century Gothic"/>
          <w:sz w:val="22"/>
          <w:szCs w:val="22"/>
        </w:rPr>
        <w:t>securities with the Organization</w:t>
      </w:r>
      <w:r w:rsidR="00B627EF">
        <w:rPr>
          <w:rFonts w:ascii="Century Gothic" w:hAnsi="Century Gothic"/>
          <w:sz w:val="22"/>
          <w:szCs w:val="22"/>
        </w:rPr>
        <w:t>,</w:t>
      </w:r>
      <w:r w:rsidR="00D130BC">
        <w:rPr>
          <w:rFonts w:ascii="Century Gothic" w:hAnsi="Century Gothic"/>
          <w:sz w:val="22"/>
          <w:szCs w:val="22"/>
        </w:rPr>
        <w:t xml:space="preserve"> shall be </w:t>
      </w:r>
      <w:r w:rsidR="00B627EF">
        <w:rPr>
          <w:rFonts w:ascii="Century Gothic" w:hAnsi="Century Gothic"/>
          <w:sz w:val="22"/>
          <w:szCs w:val="22"/>
        </w:rPr>
        <w:t xml:space="preserve">regarded as </w:t>
      </w:r>
      <w:r w:rsidR="00D130BC">
        <w:rPr>
          <w:rFonts w:ascii="Century Gothic" w:hAnsi="Century Gothic"/>
          <w:sz w:val="22"/>
          <w:szCs w:val="22"/>
        </w:rPr>
        <w:t xml:space="preserve">parts of acceptable expenses for assessment of taxable income of such securities issuer. </w:t>
      </w:r>
    </w:p>
    <w:p w:rsidR="00D130BC" w:rsidRDefault="00D130BC" w:rsidP="00D130BC">
      <w:pPr>
        <w:spacing w:line="360" w:lineRule="auto"/>
        <w:ind w:left="720"/>
        <w:jc w:val="both"/>
        <w:rPr>
          <w:rFonts w:ascii="Century Gothic" w:hAnsi="Century Gothic"/>
          <w:sz w:val="22"/>
          <w:szCs w:val="22"/>
        </w:rPr>
      </w:pPr>
    </w:p>
    <w:p w:rsidR="00D130BC" w:rsidRDefault="00D130BC" w:rsidP="0088095D">
      <w:pPr>
        <w:spacing w:line="360" w:lineRule="auto"/>
        <w:ind w:left="720"/>
        <w:jc w:val="both"/>
        <w:rPr>
          <w:rFonts w:ascii="Century Gothic" w:hAnsi="Century Gothic"/>
          <w:sz w:val="22"/>
          <w:szCs w:val="22"/>
        </w:rPr>
      </w:pPr>
      <w:r>
        <w:rPr>
          <w:rFonts w:ascii="Century Gothic" w:hAnsi="Century Gothic"/>
          <w:b/>
          <w:bCs/>
          <w:sz w:val="22"/>
          <w:szCs w:val="22"/>
        </w:rPr>
        <w:t>Note 3</w:t>
      </w:r>
      <w:r w:rsidRPr="00CC48E4">
        <w:rPr>
          <w:rFonts w:ascii="Century Gothic" w:hAnsi="Century Gothic"/>
          <w:b/>
          <w:bCs/>
          <w:sz w:val="22"/>
          <w:szCs w:val="22"/>
        </w:rPr>
        <w:t>:</w:t>
      </w:r>
      <w:r>
        <w:rPr>
          <w:rFonts w:ascii="Century Gothic" w:hAnsi="Century Gothic"/>
          <w:sz w:val="22"/>
          <w:szCs w:val="22"/>
        </w:rPr>
        <w:t xml:space="preserve"> </w:t>
      </w:r>
      <w:r w:rsidR="0088095D">
        <w:rPr>
          <w:rFonts w:ascii="Century Gothic" w:hAnsi="Century Gothic"/>
          <w:sz w:val="22"/>
          <w:szCs w:val="22"/>
        </w:rPr>
        <w:t>If any natural person or legal entity domiciled in Iran</w:t>
      </w:r>
      <w:r w:rsidR="00054003">
        <w:rPr>
          <w:rFonts w:ascii="Century Gothic" w:hAnsi="Century Gothic"/>
          <w:sz w:val="22"/>
          <w:szCs w:val="22"/>
        </w:rPr>
        <w:t>,</w:t>
      </w:r>
      <w:r w:rsidR="0088095D">
        <w:rPr>
          <w:rFonts w:ascii="Century Gothic" w:hAnsi="Century Gothic"/>
          <w:sz w:val="22"/>
          <w:szCs w:val="22"/>
        </w:rPr>
        <w:t xml:space="preserve"> who is </w:t>
      </w:r>
      <w:r w:rsidR="008F13EB">
        <w:rPr>
          <w:rFonts w:ascii="Century Gothic" w:hAnsi="Century Gothic"/>
          <w:sz w:val="22"/>
          <w:szCs w:val="22"/>
        </w:rPr>
        <w:t xml:space="preserve">the </w:t>
      </w:r>
      <w:r w:rsidR="0088095D">
        <w:rPr>
          <w:rFonts w:ascii="Century Gothic" w:hAnsi="Century Gothic"/>
          <w:sz w:val="22"/>
          <w:szCs w:val="22"/>
        </w:rPr>
        <w:t xml:space="preserve">shareholder of the company listed on the exchange or OTC </w:t>
      </w:r>
      <w:r w:rsidR="00E67266">
        <w:rPr>
          <w:rFonts w:ascii="Century Gothic" w:hAnsi="Century Gothic"/>
          <w:sz w:val="22"/>
          <w:szCs w:val="22"/>
        </w:rPr>
        <w:t xml:space="preserve">markets, </w:t>
      </w:r>
      <w:r w:rsidR="0088095D">
        <w:rPr>
          <w:rFonts w:ascii="Century Gothic" w:hAnsi="Century Gothic"/>
          <w:sz w:val="22"/>
          <w:szCs w:val="22"/>
        </w:rPr>
        <w:t xml:space="preserve">sells his shares or preemption rights in </w:t>
      </w:r>
      <w:r w:rsidR="00E67266">
        <w:rPr>
          <w:rFonts w:ascii="Century Gothic" w:hAnsi="Century Gothic"/>
          <w:sz w:val="22"/>
          <w:szCs w:val="22"/>
        </w:rPr>
        <w:t xml:space="preserve">foreign </w:t>
      </w:r>
      <w:r w:rsidR="00FB32E5">
        <w:rPr>
          <w:rFonts w:ascii="Century Gothic" w:hAnsi="Century Gothic"/>
          <w:sz w:val="22"/>
          <w:szCs w:val="22"/>
        </w:rPr>
        <w:t xml:space="preserve">stock </w:t>
      </w:r>
      <w:r w:rsidR="0088095D">
        <w:rPr>
          <w:rFonts w:ascii="Century Gothic" w:hAnsi="Century Gothic"/>
          <w:sz w:val="22"/>
          <w:szCs w:val="22"/>
        </w:rPr>
        <w:t xml:space="preserve">exchanges or </w:t>
      </w:r>
      <w:r w:rsidR="008F13EB">
        <w:rPr>
          <w:rFonts w:ascii="Century Gothic" w:hAnsi="Century Gothic"/>
          <w:sz w:val="22"/>
          <w:szCs w:val="22"/>
        </w:rPr>
        <w:t xml:space="preserve">foreign </w:t>
      </w:r>
      <w:r w:rsidR="0088095D">
        <w:rPr>
          <w:rFonts w:ascii="Century Gothic" w:hAnsi="Century Gothic"/>
          <w:sz w:val="22"/>
          <w:szCs w:val="22"/>
        </w:rPr>
        <w:t xml:space="preserve">OTC markets, no tax whatsoever shall be </w:t>
      </w:r>
      <w:r w:rsidR="008F13EB">
        <w:rPr>
          <w:rFonts w:ascii="Century Gothic" w:hAnsi="Century Gothic"/>
          <w:sz w:val="22"/>
          <w:szCs w:val="22"/>
        </w:rPr>
        <w:t xml:space="preserve">levied on and </w:t>
      </w:r>
      <w:r w:rsidR="0088095D">
        <w:rPr>
          <w:rFonts w:ascii="Century Gothic" w:hAnsi="Century Gothic"/>
          <w:sz w:val="22"/>
          <w:szCs w:val="22"/>
        </w:rPr>
        <w:t xml:space="preserve">collected in Iran in this respect. </w:t>
      </w:r>
    </w:p>
    <w:p w:rsidR="0088095D" w:rsidRDefault="0088095D" w:rsidP="00D130BC">
      <w:pPr>
        <w:spacing w:line="360" w:lineRule="auto"/>
        <w:ind w:left="720"/>
        <w:jc w:val="both"/>
        <w:rPr>
          <w:rFonts w:ascii="Century Gothic" w:hAnsi="Century Gothic"/>
          <w:b/>
          <w:bCs/>
          <w:sz w:val="22"/>
          <w:szCs w:val="22"/>
        </w:rPr>
      </w:pPr>
    </w:p>
    <w:p w:rsidR="00D130BC" w:rsidRDefault="0088095D" w:rsidP="008827AD">
      <w:pPr>
        <w:spacing w:line="360" w:lineRule="auto"/>
        <w:ind w:left="720"/>
        <w:jc w:val="both"/>
        <w:rPr>
          <w:rFonts w:ascii="Century Gothic" w:hAnsi="Century Gothic"/>
          <w:sz w:val="22"/>
          <w:szCs w:val="22"/>
        </w:rPr>
      </w:pPr>
      <w:r>
        <w:rPr>
          <w:rFonts w:ascii="Century Gothic" w:hAnsi="Century Gothic"/>
          <w:b/>
          <w:bCs/>
          <w:sz w:val="22"/>
          <w:szCs w:val="22"/>
        </w:rPr>
        <w:t>Note 4</w:t>
      </w:r>
      <w:r w:rsidRPr="00CC48E4">
        <w:rPr>
          <w:rFonts w:ascii="Century Gothic" w:hAnsi="Century Gothic"/>
          <w:b/>
          <w:bCs/>
          <w:sz w:val="22"/>
          <w:szCs w:val="22"/>
        </w:rPr>
        <w:t>:</w:t>
      </w:r>
      <w:r>
        <w:rPr>
          <w:rFonts w:ascii="Century Gothic" w:hAnsi="Century Gothic"/>
          <w:sz w:val="22"/>
          <w:szCs w:val="22"/>
        </w:rPr>
        <w:t xml:space="preserve"> </w:t>
      </w:r>
      <w:r w:rsidR="00C96BFD">
        <w:rPr>
          <w:rFonts w:ascii="Century Gothic" w:hAnsi="Century Gothic"/>
          <w:sz w:val="22"/>
          <w:szCs w:val="22"/>
        </w:rPr>
        <w:t xml:space="preserve">The mutual fund shall not be authorized to engage in any other economic activity whatsoever outside the area </w:t>
      </w:r>
      <w:r w:rsidR="008827AD">
        <w:rPr>
          <w:rFonts w:ascii="Century Gothic" w:hAnsi="Century Gothic"/>
          <w:sz w:val="22"/>
          <w:szCs w:val="22"/>
        </w:rPr>
        <w:t xml:space="preserve">designated </w:t>
      </w:r>
      <w:r w:rsidR="00E67266">
        <w:rPr>
          <w:rFonts w:ascii="Century Gothic" w:hAnsi="Century Gothic"/>
          <w:sz w:val="22"/>
          <w:szCs w:val="22"/>
        </w:rPr>
        <w:t xml:space="preserve">in </w:t>
      </w:r>
      <w:r w:rsidR="00C96BFD">
        <w:rPr>
          <w:rFonts w:ascii="Century Gothic" w:hAnsi="Century Gothic"/>
          <w:sz w:val="22"/>
          <w:szCs w:val="22"/>
        </w:rPr>
        <w:t xml:space="preserve">the licenses issued by the Organization. </w:t>
      </w:r>
    </w:p>
    <w:p w:rsidR="00C96BFD" w:rsidRDefault="00C96BFD" w:rsidP="00C96BFD">
      <w:pPr>
        <w:spacing w:line="360" w:lineRule="auto"/>
        <w:ind w:left="720"/>
        <w:jc w:val="both"/>
        <w:rPr>
          <w:rFonts w:ascii="Century Gothic" w:hAnsi="Century Gothic"/>
          <w:sz w:val="22"/>
          <w:szCs w:val="22"/>
        </w:rPr>
      </w:pPr>
    </w:p>
    <w:p w:rsidR="00C96BFD" w:rsidRDefault="00C96BFD" w:rsidP="00C96BFD">
      <w:pPr>
        <w:spacing w:line="360" w:lineRule="auto"/>
        <w:ind w:left="720"/>
        <w:jc w:val="both"/>
        <w:rPr>
          <w:rFonts w:ascii="Century Gothic" w:hAnsi="Century Gothic"/>
          <w:sz w:val="22"/>
          <w:szCs w:val="22"/>
        </w:rPr>
      </w:pPr>
    </w:p>
    <w:p w:rsidR="00C96BFD" w:rsidRDefault="00C96BFD" w:rsidP="00C96BFD">
      <w:pPr>
        <w:spacing w:line="360" w:lineRule="auto"/>
        <w:ind w:left="720"/>
        <w:jc w:val="both"/>
        <w:rPr>
          <w:rFonts w:ascii="Century Gothic" w:hAnsi="Century Gothic"/>
          <w:sz w:val="22"/>
          <w:szCs w:val="22"/>
        </w:rPr>
      </w:pPr>
    </w:p>
    <w:p w:rsidR="00C96BFD" w:rsidRDefault="00C96BFD" w:rsidP="00C96BFD">
      <w:pPr>
        <w:spacing w:line="360" w:lineRule="auto"/>
        <w:ind w:left="720"/>
        <w:jc w:val="both"/>
        <w:rPr>
          <w:rFonts w:ascii="Century Gothic" w:hAnsi="Century Gothic"/>
          <w:sz w:val="22"/>
          <w:szCs w:val="22"/>
        </w:rPr>
      </w:pPr>
    </w:p>
    <w:p w:rsidR="00B0265D" w:rsidRDefault="00B0265D" w:rsidP="00DB5B61">
      <w:pPr>
        <w:spacing w:line="360" w:lineRule="auto"/>
        <w:ind w:left="1080" w:hanging="1080"/>
        <w:jc w:val="both"/>
        <w:rPr>
          <w:rFonts w:ascii="Century Gothic" w:hAnsi="Century Gothic"/>
          <w:b/>
          <w:bCs/>
          <w:sz w:val="22"/>
          <w:szCs w:val="22"/>
        </w:rPr>
      </w:pPr>
    </w:p>
    <w:p w:rsidR="00B0265D" w:rsidRDefault="00B0265D" w:rsidP="00DB5B61">
      <w:pPr>
        <w:spacing w:line="360" w:lineRule="auto"/>
        <w:ind w:left="1080" w:hanging="1080"/>
        <w:jc w:val="both"/>
        <w:rPr>
          <w:rFonts w:ascii="Century Gothic" w:hAnsi="Century Gothic"/>
          <w:b/>
          <w:bCs/>
          <w:sz w:val="22"/>
          <w:szCs w:val="22"/>
        </w:rPr>
      </w:pPr>
    </w:p>
    <w:p w:rsidR="00BA085A" w:rsidRDefault="00BA085A" w:rsidP="00DB5B61">
      <w:pPr>
        <w:spacing w:line="360" w:lineRule="auto"/>
        <w:ind w:left="1080" w:hanging="1080"/>
        <w:jc w:val="both"/>
        <w:rPr>
          <w:rFonts w:ascii="Century Gothic" w:hAnsi="Century Gothic"/>
          <w:b/>
          <w:bCs/>
          <w:sz w:val="22"/>
          <w:szCs w:val="22"/>
        </w:rPr>
      </w:pPr>
    </w:p>
    <w:p w:rsidR="00DB5B61" w:rsidRDefault="00DB5B61" w:rsidP="00DB5B61">
      <w:pPr>
        <w:spacing w:line="360" w:lineRule="auto"/>
        <w:ind w:left="1080" w:hanging="1080"/>
        <w:jc w:val="both"/>
        <w:rPr>
          <w:rFonts w:ascii="Century Gothic" w:hAnsi="Century Gothic"/>
          <w:b/>
          <w:bCs/>
          <w:sz w:val="22"/>
          <w:szCs w:val="22"/>
        </w:rPr>
      </w:pPr>
      <w:r>
        <w:rPr>
          <w:rFonts w:ascii="Century Gothic" w:hAnsi="Century Gothic"/>
          <w:b/>
          <w:bCs/>
          <w:sz w:val="22"/>
          <w:szCs w:val="22"/>
        </w:rPr>
        <w:lastRenderedPageBreak/>
        <w:t xml:space="preserve">Article 8: </w:t>
      </w:r>
    </w:p>
    <w:p w:rsidR="00DB5B61" w:rsidRDefault="00AF015A" w:rsidP="00A951C6">
      <w:pPr>
        <w:spacing w:line="360" w:lineRule="auto"/>
        <w:jc w:val="both"/>
        <w:rPr>
          <w:rFonts w:ascii="Century Gothic" w:hAnsi="Century Gothic"/>
          <w:sz w:val="22"/>
          <w:szCs w:val="22"/>
        </w:rPr>
      </w:pPr>
      <w:r>
        <w:rPr>
          <w:rFonts w:ascii="Century Gothic" w:hAnsi="Century Gothic"/>
          <w:sz w:val="22"/>
          <w:szCs w:val="22"/>
        </w:rPr>
        <w:t xml:space="preserve">In article (104) of the Direct Taxation Act amended on </w:t>
      </w:r>
      <w:r w:rsidR="00A951C6">
        <w:rPr>
          <w:rFonts w:ascii="Century Gothic" w:hAnsi="Century Gothic"/>
          <w:sz w:val="22"/>
          <w:szCs w:val="22"/>
        </w:rPr>
        <w:t>Feb. 16, 2002</w:t>
      </w:r>
      <w:r>
        <w:rPr>
          <w:rFonts w:ascii="Century Gothic" w:hAnsi="Century Gothic"/>
          <w:sz w:val="22"/>
          <w:szCs w:val="22"/>
        </w:rPr>
        <w:t xml:space="preserve">, the phrase </w:t>
      </w:r>
      <w:r w:rsidR="00A951C6">
        <w:rPr>
          <w:rFonts w:ascii="Century Gothic" w:hAnsi="Century Gothic"/>
          <w:sz w:val="22"/>
          <w:szCs w:val="22"/>
        </w:rPr>
        <w:t>"</w:t>
      </w:r>
      <w:r w:rsidRPr="00A951C6">
        <w:rPr>
          <w:rFonts w:ascii="Century Gothic" w:hAnsi="Century Gothic"/>
          <w:b/>
          <w:bCs/>
          <w:sz w:val="22"/>
          <w:szCs w:val="22"/>
        </w:rPr>
        <w:t xml:space="preserve">exchanges, OTC markets and transaction fees and settlement of securities and commodity in exchanges and </w:t>
      </w:r>
      <w:r w:rsidR="00A951C6">
        <w:rPr>
          <w:rFonts w:ascii="Century Gothic" w:hAnsi="Century Gothic"/>
          <w:b/>
          <w:bCs/>
          <w:sz w:val="22"/>
          <w:szCs w:val="22"/>
        </w:rPr>
        <w:t xml:space="preserve">OTC </w:t>
      </w:r>
      <w:r w:rsidRPr="00A951C6">
        <w:rPr>
          <w:rFonts w:ascii="Century Gothic" w:hAnsi="Century Gothic"/>
          <w:b/>
          <w:bCs/>
          <w:sz w:val="22"/>
          <w:szCs w:val="22"/>
        </w:rPr>
        <w:t>markets</w:t>
      </w:r>
      <w:r w:rsidR="00A951C6">
        <w:rPr>
          <w:rFonts w:ascii="Century Gothic" w:hAnsi="Century Gothic"/>
          <w:sz w:val="22"/>
          <w:szCs w:val="22"/>
        </w:rPr>
        <w:t>"</w:t>
      </w:r>
      <w:r>
        <w:rPr>
          <w:rFonts w:ascii="Century Gothic" w:hAnsi="Century Gothic"/>
          <w:sz w:val="22"/>
          <w:szCs w:val="22"/>
        </w:rPr>
        <w:t xml:space="preserve"> is added before the word "</w:t>
      </w:r>
      <w:r w:rsidRPr="00A951C6">
        <w:rPr>
          <w:rFonts w:ascii="Century Gothic" w:hAnsi="Century Gothic"/>
          <w:b/>
          <w:bCs/>
          <w:sz w:val="22"/>
          <w:szCs w:val="22"/>
        </w:rPr>
        <w:t>banks</w:t>
      </w:r>
      <w:r>
        <w:rPr>
          <w:rFonts w:ascii="Century Gothic" w:hAnsi="Century Gothic"/>
          <w:sz w:val="22"/>
          <w:szCs w:val="22"/>
        </w:rPr>
        <w:t>" and the word "</w:t>
      </w:r>
      <w:r w:rsidRPr="00A951C6">
        <w:rPr>
          <w:rFonts w:ascii="Century Gothic" w:hAnsi="Century Gothic"/>
          <w:b/>
          <w:bCs/>
          <w:sz w:val="22"/>
          <w:szCs w:val="22"/>
        </w:rPr>
        <w:t>contract</w:t>
      </w:r>
      <w:r>
        <w:rPr>
          <w:rFonts w:ascii="Century Gothic" w:hAnsi="Century Gothic"/>
          <w:sz w:val="22"/>
          <w:szCs w:val="22"/>
        </w:rPr>
        <w:t xml:space="preserve">" </w:t>
      </w:r>
      <w:r w:rsidR="00A951C6">
        <w:rPr>
          <w:rFonts w:ascii="Century Gothic" w:hAnsi="Century Gothic"/>
          <w:sz w:val="22"/>
          <w:szCs w:val="22"/>
        </w:rPr>
        <w:t xml:space="preserve">precedes </w:t>
      </w:r>
      <w:r>
        <w:rPr>
          <w:rFonts w:ascii="Century Gothic" w:hAnsi="Century Gothic"/>
          <w:sz w:val="22"/>
          <w:szCs w:val="22"/>
        </w:rPr>
        <w:t xml:space="preserve">the </w:t>
      </w:r>
      <w:r w:rsidR="00A951C6">
        <w:rPr>
          <w:rFonts w:ascii="Century Gothic" w:hAnsi="Century Gothic"/>
          <w:sz w:val="22"/>
          <w:szCs w:val="22"/>
        </w:rPr>
        <w:t xml:space="preserve">word </w:t>
      </w:r>
      <w:r>
        <w:rPr>
          <w:rFonts w:ascii="Century Gothic" w:hAnsi="Century Gothic"/>
          <w:sz w:val="22"/>
          <w:szCs w:val="22"/>
        </w:rPr>
        <w:t>"</w:t>
      </w:r>
      <w:r w:rsidRPr="00A951C6">
        <w:rPr>
          <w:rFonts w:ascii="Century Gothic" w:hAnsi="Century Gothic"/>
          <w:b/>
          <w:bCs/>
          <w:sz w:val="22"/>
          <w:szCs w:val="22"/>
        </w:rPr>
        <w:t>transport</w:t>
      </w:r>
      <w:r>
        <w:rPr>
          <w:rFonts w:ascii="Century Gothic" w:hAnsi="Century Gothic"/>
          <w:sz w:val="22"/>
          <w:szCs w:val="22"/>
        </w:rPr>
        <w:t xml:space="preserve">".  </w:t>
      </w:r>
    </w:p>
    <w:p w:rsidR="00DB5B61" w:rsidRDefault="00DB5B61" w:rsidP="00DB5B61">
      <w:pPr>
        <w:spacing w:line="360" w:lineRule="auto"/>
        <w:ind w:left="1080" w:hanging="1080"/>
        <w:jc w:val="both"/>
        <w:rPr>
          <w:rFonts w:ascii="Century Gothic" w:hAnsi="Century Gothic"/>
          <w:b/>
          <w:bCs/>
          <w:sz w:val="22"/>
          <w:szCs w:val="22"/>
        </w:rPr>
      </w:pPr>
    </w:p>
    <w:p w:rsidR="00DB5B61" w:rsidRDefault="00DB5B61" w:rsidP="00DB5B61">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9: </w:t>
      </w:r>
    </w:p>
    <w:p w:rsidR="00DB5B61" w:rsidRDefault="00E21BAB" w:rsidP="0039635D">
      <w:pPr>
        <w:spacing w:line="360" w:lineRule="auto"/>
        <w:jc w:val="both"/>
        <w:rPr>
          <w:rFonts w:ascii="Century Gothic" w:hAnsi="Century Gothic"/>
          <w:sz w:val="22"/>
          <w:szCs w:val="22"/>
        </w:rPr>
      </w:pPr>
      <w:r>
        <w:rPr>
          <w:rFonts w:ascii="Century Gothic" w:hAnsi="Century Gothic"/>
          <w:sz w:val="22"/>
          <w:szCs w:val="22"/>
        </w:rPr>
        <w:t>The p</w:t>
      </w:r>
      <w:r w:rsidR="00BF79CC">
        <w:rPr>
          <w:rFonts w:ascii="Century Gothic" w:hAnsi="Century Gothic"/>
          <w:sz w:val="22"/>
          <w:szCs w:val="22"/>
        </w:rPr>
        <w:t xml:space="preserve">aragraph </w:t>
      </w:r>
      <w:r w:rsidR="00AA3225">
        <w:rPr>
          <w:rFonts w:ascii="Century Gothic" w:hAnsi="Century Gothic"/>
          <w:sz w:val="22"/>
          <w:szCs w:val="22"/>
        </w:rPr>
        <w:t xml:space="preserve">(11) of article (12) of the Value-Added Tax Act is amended as follows: </w:t>
      </w:r>
    </w:p>
    <w:p w:rsidR="00AA3225" w:rsidRDefault="00AA3225" w:rsidP="00F63902">
      <w:pPr>
        <w:spacing w:line="360" w:lineRule="auto"/>
        <w:ind w:left="720"/>
        <w:jc w:val="both"/>
        <w:rPr>
          <w:rFonts w:ascii="Century Gothic" w:hAnsi="Century Gothic"/>
          <w:sz w:val="22"/>
          <w:szCs w:val="22"/>
        </w:rPr>
      </w:pPr>
      <w:r>
        <w:rPr>
          <w:rFonts w:ascii="Century Gothic" w:hAnsi="Century Gothic"/>
          <w:b/>
          <w:bCs/>
          <w:sz w:val="22"/>
          <w:szCs w:val="22"/>
        </w:rPr>
        <w:t>11</w:t>
      </w:r>
      <w:r w:rsidRPr="00CC48E4">
        <w:rPr>
          <w:rFonts w:ascii="Century Gothic" w:hAnsi="Century Gothic"/>
          <w:b/>
          <w:bCs/>
          <w:sz w:val="22"/>
          <w:szCs w:val="22"/>
        </w:rPr>
        <w:t>:</w:t>
      </w:r>
      <w:r>
        <w:rPr>
          <w:rFonts w:ascii="Century Gothic" w:hAnsi="Century Gothic"/>
          <w:sz w:val="22"/>
          <w:szCs w:val="22"/>
        </w:rPr>
        <w:t xml:space="preserve"> Banking and credit services rendered by banks</w:t>
      </w:r>
      <w:r w:rsidR="00D64019">
        <w:rPr>
          <w:rFonts w:ascii="Century Gothic" w:hAnsi="Century Gothic"/>
          <w:sz w:val="22"/>
          <w:szCs w:val="22"/>
        </w:rPr>
        <w:t>,</w:t>
      </w:r>
      <w:r w:rsidR="00E21BAB">
        <w:rPr>
          <w:rFonts w:ascii="Century Gothic" w:hAnsi="Century Gothic"/>
          <w:sz w:val="22"/>
          <w:szCs w:val="22"/>
        </w:rPr>
        <w:t xml:space="preserve"> credit</w:t>
      </w:r>
      <w:r>
        <w:rPr>
          <w:rFonts w:ascii="Century Gothic" w:hAnsi="Century Gothic"/>
          <w:sz w:val="22"/>
          <w:szCs w:val="22"/>
        </w:rPr>
        <w:t xml:space="preserve"> institutions and cooperatives and authorized interest</w:t>
      </w:r>
      <w:r w:rsidR="00486B25">
        <w:rPr>
          <w:rFonts w:ascii="Century Gothic" w:hAnsi="Century Gothic"/>
          <w:sz w:val="22"/>
          <w:szCs w:val="22"/>
        </w:rPr>
        <w:t>-free</w:t>
      </w:r>
      <w:r>
        <w:rPr>
          <w:rFonts w:ascii="Century Gothic" w:hAnsi="Century Gothic"/>
          <w:sz w:val="22"/>
          <w:szCs w:val="22"/>
        </w:rPr>
        <w:t xml:space="preserve"> loan funds </w:t>
      </w:r>
      <w:r w:rsidR="00B0265D" w:rsidRPr="007154F2">
        <w:rPr>
          <w:rFonts w:ascii="Century Gothic" w:hAnsi="Century Gothic"/>
          <w:b/>
          <w:bCs/>
          <w:i/>
          <w:iCs/>
          <w:sz w:val="18"/>
          <w:szCs w:val="18"/>
        </w:rPr>
        <w:t>(</w:t>
      </w:r>
      <w:r w:rsidRPr="007154F2">
        <w:rPr>
          <w:rFonts w:ascii="Century Gothic" w:hAnsi="Century Gothic"/>
          <w:b/>
          <w:bCs/>
          <w:i/>
          <w:iCs/>
          <w:sz w:val="18"/>
          <w:szCs w:val="18"/>
        </w:rPr>
        <w:t>Gharz</w:t>
      </w:r>
      <w:r w:rsidR="00463AD0">
        <w:rPr>
          <w:rFonts w:ascii="Century Gothic" w:hAnsi="Century Gothic"/>
          <w:b/>
          <w:bCs/>
          <w:i/>
          <w:iCs/>
          <w:sz w:val="18"/>
          <w:szCs w:val="18"/>
        </w:rPr>
        <w:t xml:space="preserve"> U</w:t>
      </w:r>
      <w:r w:rsidR="00F63902">
        <w:rPr>
          <w:rFonts w:ascii="Century Gothic" w:hAnsi="Century Gothic"/>
          <w:b/>
          <w:bCs/>
          <w:i/>
          <w:iCs/>
          <w:sz w:val="18"/>
          <w:szCs w:val="18"/>
        </w:rPr>
        <w:t>l</w:t>
      </w:r>
      <w:r w:rsidR="00463AD0">
        <w:rPr>
          <w:rFonts w:ascii="Century Gothic" w:hAnsi="Century Gothic"/>
          <w:b/>
          <w:bCs/>
          <w:i/>
          <w:iCs/>
          <w:sz w:val="18"/>
          <w:szCs w:val="18"/>
        </w:rPr>
        <w:t>- H</w:t>
      </w:r>
      <w:r w:rsidRPr="007154F2">
        <w:rPr>
          <w:rFonts w:ascii="Century Gothic" w:hAnsi="Century Gothic"/>
          <w:b/>
          <w:bCs/>
          <w:i/>
          <w:iCs/>
          <w:sz w:val="18"/>
          <w:szCs w:val="18"/>
        </w:rPr>
        <w:t>assan</w:t>
      </w:r>
      <w:r w:rsidR="00463AD0">
        <w:rPr>
          <w:rFonts w:ascii="Century Gothic" w:hAnsi="Century Gothic"/>
          <w:b/>
          <w:bCs/>
          <w:i/>
          <w:iCs/>
          <w:sz w:val="18"/>
          <w:szCs w:val="18"/>
        </w:rPr>
        <w:t>a</w:t>
      </w:r>
      <w:r w:rsidRPr="007154F2">
        <w:rPr>
          <w:rFonts w:ascii="Century Gothic" w:hAnsi="Century Gothic"/>
          <w:b/>
          <w:bCs/>
          <w:i/>
          <w:iCs/>
          <w:sz w:val="18"/>
          <w:szCs w:val="18"/>
        </w:rPr>
        <w:t>h</w:t>
      </w:r>
      <w:r w:rsidR="0005779E" w:rsidRPr="007154F2">
        <w:rPr>
          <w:rFonts w:ascii="Century Gothic" w:hAnsi="Century Gothic"/>
          <w:b/>
          <w:bCs/>
          <w:i/>
          <w:iCs/>
          <w:sz w:val="18"/>
          <w:szCs w:val="18"/>
        </w:rPr>
        <w:t>–</w:t>
      </w:r>
      <w:r w:rsidR="00486B25" w:rsidRPr="007154F2">
        <w:rPr>
          <w:rFonts w:ascii="Century Gothic" w:hAnsi="Century Gothic"/>
          <w:b/>
          <w:bCs/>
          <w:i/>
          <w:iCs/>
          <w:sz w:val="18"/>
          <w:szCs w:val="18"/>
        </w:rPr>
        <w:t xml:space="preserve"> </w:t>
      </w:r>
      <w:r w:rsidR="00E21BAB" w:rsidRPr="007154F2">
        <w:rPr>
          <w:rFonts w:ascii="Century Gothic" w:hAnsi="Century Gothic"/>
          <w:b/>
          <w:bCs/>
          <w:i/>
          <w:iCs/>
          <w:sz w:val="18"/>
          <w:szCs w:val="18"/>
        </w:rPr>
        <w:t xml:space="preserve">a benevolent loan free from </w:t>
      </w:r>
      <w:r w:rsidR="00B0265D" w:rsidRPr="007154F2">
        <w:rPr>
          <w:rFonts w:ascii="Century Gothic" w:hAnsi="Century Gothic"/>
          <w:b/>
          <w:bCs/>
          <w:i/>
          <w:iCs/>
          <w:sz w:val="18"/>
          <w:szCs w:val="18"/>
        </w:rPr>
        <w:t>R</w:t>
      </w:r>
      <w:r w:rsidR="00E21BAB" w:rsidRPr="007154F2">
        <w:rPr>
          <w:rFonts w:ascii="Century Gothic" w:hAnsi="Century Gothic"/>
          <w:b/>
          <w:bCs/>
          <w:i/>
          <w:iCs/>
          <w:sz w:val="18"/>
          <w:szCs w:val="18"/>
        </w:rPr>
        <w:t>iba</w:t>
      </w:r>
      <w:r w:rsidR="00B0265D" w:rsidRPr="007154F2">
        <w:rPr>
          <w:rFonts w:ascii="Century Gothic" w:hAnsi="Century Gothic"/>
          <w:b/>
          <w:bCs/>
          <w:i/>
          <w:iCs/>
          <w:sz w:val="18"/>
          <w:szCs w:val="18"/>
        </w:rPr>
        <w:t>–</w:t>
      </w:r>
      <w:r w:rsidR="00E21BAB" w:rsidRPr="007154F2">
        <w:rPr>
          <w:rFonts w:ascii="Century Gothic" w:hAnsi="Century Gothic"/>
          <w:b/>
          <w:bCs/>
          <w:i/>
          <w:iCs/>
          <w:sz w:val="18"/>
          <w:szCs w:val="18"/>
        </w:rPr>
        <w:t>usury</w:t>
      </w:r>
      <w:r w:rsidRPr="007154F2">
        <w:rPr>
          <w:rFonts w:ascii="Century Gothic" w:hAnsi="Century Gothic"/>
          <w:b/>
          <w:bCs/>
          <w:i/>
          <w:iCs/>
          <w:sz w:val="18"/>
          <w:szCs w:val="18"/>
        </w:rPr>
        <w:t>)</w:t>
      </w:r>
      <w:r w:rsidRPr="007154F2">
        <w:rPr>
          <w:rFonts w:ascii="Century Gothic" w:hAnsi="Century Gothic"/>
          <w:sz w:val="18"/>
          <w:szCs w:val="18"/>
        </w:rPr>
        <w:t xml:space="preserve"> </w:t>
      </w:r>
      <w:r>
        <w:rPr>
          <w:rFonts w:ascii="Century Gothic" w:hAnsi="Century Gothic"/>
          <w:sz w:val="22"/>
          <w:szCs w:val="22"/>
        </w:rPr>
        <w:t xml:space="preserve">and transaction </w:t>
      </w:r>
      <w:r w:rsidR="00C31736">
        <w:rPr>
          <w:rFonts w:ascii="Century Gothic" w:hAnsi="Century Gothic"/>
          <w:sz w:val="22"/>
          <w:szCs w:val="22"/>
        </w:rPr>
        <w:t xml:space="preserve">services and settlement of securities and commodity in exchanges and OTC markets. </w:t>
      </w:r>
    </w:p>
    <w:p w:rsidR="00F60424" w:rsidRDefault="00F60424" w:rsidP="00F60424">
      <w:pPr>
        <w:spacing w:line="360" w:lineRule="auto"/>
        <w:ind w:left="1080" w:hanging="1080"/>
        <w:jc w:val="both"/>
        <w:rPr>
          <w:rFonts w:ascii="Century Gothic" w:hAnsi="Century Gothic"/>
          <w:b/>
          <w:bCs/>
          <w:sz w:val="22"/>
          <w:szCs w:val="22"/>
        </w:rPr>
      </w:pPr>
    </w:p>
    <w:p w:rsidR="00F60424" w:rsidRDefault="00F60424" w:rsidP="00F60424">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10: </w:t>
      </w:r>
    </w:p>
    <w:p w:rsidR="00F60424" w:rsidRDefault="00F60424" w:rsidP="00641F88">
      <w:pPr>
        <w:spacing w:line="360" w:lineRule="auto"/>
        <w:jc w:val="both"/>
        <w:rPr>
          <w:rFonts w:ascii="Century Gothic" w:hAnsi="Century Gothic"/>
          <w:sz w:val="22"/>
          <w:szCs w:val="22"/>
        </w:rPr>
      </w:pPr>
      <w:r>
        <w:rPr>
          <w:rFonts w:ascii="Century Gothic" w:hAnsi="Century Gothic"/>
          <w:sz w:val="22"/>
          <w:szCs w:val="22"/>
        </w:rPr>
        <w:t xml:space="preserve">Trading in commodity </w:t>
      </w:r>
      <w:r w:rsidR="008D4410">
        <w:rPr>
          <w:rFonts w:ascii="Century Gothic" w:hAnsi="Century Gothic"/>
          <w:sz w:val="22"/>
          <w:szCs w:val="22"/>
        </w:rPr>
        <w:t xml:space="preserve">and securities in the commodity exchanges and all activities carried out by </w:t>
      </w:r>
      <w:r w:rsidR="00E21BAB">
        <w:rPr>
          <w:rFonts w:ascii="Century Gothic" w:hAnsi="Century Gothic"/>
          <w:sz w:val="22"/>
          <w:szCs w:val="22"/>
        </w:rPr>
        <w:t xml:space="preserve">individuals/entities </w:t>
      </w:r>
      <w:r w:rsidR="008D4410">
        <w:rPr>
          <w:rFonts w:ascii="Century Gothic" w:hAnsi="Century Gothic"/>
          <w:sz w:val="22"/>
          <w:szCs w:val="22"/>
        </w:rPr>
        <w:t xml:space="preserve">in such exchanges shall be subject to the rules provided in chapter six of the Securities Market </w:t>
      </w:r>
      <w:r w:rsidR="00641F88">
        <w:rPr>
          <w:rFonts w:ascii="Century Gothic" w:hAnsi="Century Gothic"/>
          <w:sz w:val="22"/>
          <w:szCs w:val="22"/>
        </w:rPr>
        <w:t>Act</w:t>
      </w:r>
      <w:r w:rsidR="008D4410">
        <w:rPr>
          <w:rFonts w:ascii="Century Gothic" w:hAnsi="Century Gothic"/>
          <w:sz w:val="22"/>
          <w:szCs w:val="22"/>
        </w:rPr>
        <w:t xml:space="preserve"> of</w:t>
      </w:r>
      <w:r w:rsidR="00641F88">
        <w:rPr>
          <w:rFonts w:ascii="Century Gothic" w:hAnsi="Century Gothic"/>
          <w:sz w:val="22"/>
          <w:szCs w:val="22"/>
        </w:rPr>
        <w:t xml:space="preserve"> the</w:t>
      </w:r>
      <w:r w:rsidR="008D4410">
        <w:rPr>
          <w:rFonts w:ascii="Century Gothic" w:hAnsi="Century Gothic"/>
          <w:sz w:val="22"/>
          <w:szCs w:val="22"/>
        </w:rPr>
        <w:t xml:space="preserve"> I.R.I. and perpetrators of the offences stated under the said chapter shall be prosecuted in compliance with article (52) of the same </w:t>
      </w:r>
      <w:r w:rsidR="00641F88">
        <w:rPr>
          <w:rFonts w:ascii="Century Gothic" w:hAnsi="Century Gothic"/>
          <w:sz w:val="22"/>
          <w:szCs w:val="22"/>
        </w:rPr>
        <w:t>Act</w:t>
      </w:r>
      <w:r w:rsidR="008D4410">
        <w:rPr>
          <w:rFonts w:ascii="Century Gothic" w:hAnsi="Century Gothic"/>
          <w:sz w:val="22"/>
          <w:szCs w:val="22"/>
        </w:rPr>
        <w:t xml:space="preserve">. </w:t>
      </w:r>
    </w:p>
    <w:p w:rsidR="002E28DD" w:rsidRDefault="002E28DD" w:rsidP="008D4410">
      <w:pPr>
        <w:spacing w:line="360" w:lineRule="auto"/>
        <w:ind w:left="1080" w:hanging="1080"/>
        <w:jc w:val="both"/>
        <w:rPr>
          <w:rFonts w:ascii="Century Gothic" w:hAnsi="Century Gothic"/>
          <w:b/>
          <w:bCs/>
          <w:sz w:val="22"/>
          <w:szCs w:val="22"/>
        </w:rPr>
      </w:pPr>
    </w:p>
    <w:p w:rsidR="00F60424" w:rsidRDefault="00F60424" w:rsidP="008D4410">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8D4410">
        <w:rPr>
          <w:rFonts w:ascii="Century Gothic" w:hAnsi="Century Gothic"/>
          <w:b/>
          <w:bCs/>
          <w:sz w:val="22"/>
          <w:szCs w:val="22"/>
        </w:rPr>
        <w:t>11</w:t>
      </w:r>
      <w:r>
        <w:rPr>
          <w:rFonts w:ascii="Century Gothic" w:hAnsi="Century Gothic"/>
          <w:b/>
          <w:bCs/>
          <w:sz w:val="22"/>
          <w:szCs w:val="22"/>
        </w:rPr>
        <w:t xml:space="preserve">: </w:t>
      </w:r>
    </w:p>
    <w:p w:rsidR="00F60424" w:rsidRDefault="002E28DD" w:rsidP="00463AD0">
      <w:pPr>
        <w:spacing w:line="360" w:lineRule="auto"/>
        <w:jc w:val="both"/>
        <w:rPr>
          <w:rFonts w:ascii="Century Gothic" w:hAnsi="Century Gothic"/>
          <w:sz w:val="22"/>
          <w:szCs w:val="22"/>
        </w:rPr>
      </w:pPr>
      <w:r>
        <w:rPr>
          <w:rFonts w:ascii="Century Gothic" w:hAnsi="Century Gothic"/>
          <w:sz w:val="22"/>
          <w:szCs w:val="22"/>
        </w:rPr>
        <w:t xml:space="preserve">The </w:t>
      </w:r>
      <w:r w:rsidR="00D64019">
        <w:rPr>
          <w:rFonts w:ascii="Century Gothic" w:hAnsi="Century Gothic"/>
          <w:sz w:val="22"/>
          <w:szCs w:val="22"/>
        </w:rPr>
        <w:t xml:space="preserve">SPV </w:t>
      </w:r>
      <w:r w:rsidR="00061F87">
        <w:rPr>
          <w:rFonts w:ascii="Century Gothic" w:hAnsi="Century Gothic"/>
          <w:sz w:val="22"/>
          <w:szCs w:val="22"/>
        </w:rPr>
        <w:t>shall be exempt from payment of any tax whatsoever and transfer tax</w:t>
      </w:r>
      <w:r w:rsidR="00463AD0">
        <w:rPr>
          <w:rFonts w:ascii="Century Gothic" w:hAnsi="Century Gothic"/>
          <w:sz w:val="22"/>
          <w:szCs w:val="22"/>
        </w:rPr>
        <w:t xml:space="preserve"> and charges</w:t>
      </w:r>
      <w:r w:rsidR="00061F87">
        <w:rPr>
          <w:rFonts w:ascii="Century Gothic" w:hAnsi="Century Gothic"/>
          <w:sz w:val="22"/>
          <w:szCs w:val="22"/>
        </w:rPr>
        <w:t xml:space="preserve"> and income </w:t>
      </w:r>
      <w:r w:rsidR="00463AD0">
        <w:rPr>
          <w:rFonts w:ascii="Century Gothic" w:hAnsi="Century Gothic"/>
          <w:sz w:val="22"/>
          <w:szCs w:val="22"/>
        </w:rPr>
        <w:t>tax</w:t>
      </w:r>
      <w:r w:rsidR="00D64019">
        <w:rPr>
          <w:rFonts w:ascii="Century Gothic" w:hAnsi="Century Gothic"/>
          <w:sz w:val="22"/>
          <w:szCs w:val="22"/>
        </w:rPr>
        <w:t xml:space="preserve"> </w:t>
      </w:r>
      <w:r w:rsidR="00061F87">
        <w:rPr>
          <w:rFonts w:ascii="Century Gothic" w:hAnsi="Century Gothic"/>
          <w:sz w:val="22"/>
          <w:szCs w:val="22"/>
        </w:rPr>
        <w:t xml:space="preserve">for that </w:t>
      </w:r>
      <w:r>
        <w:rPr>
          <w:rFonts w:ascii="Century Gothic" w:hAnsi="Century Gothic"/>
          <w:sz w:val="22"/>
          <w:szCs w:val="22"/>
        </w:rPr>
        <w:t xml:space="preserve">category </w:t>
      </w:r>
      <w:r w:rsidR="00061F87">
        <w:rPr>
          <w:rFonts w:ascii="Century Gothic" w:hAnsi="Century Gothic"/>
          <w:sz w:val="22"/>
          <w:szCs w:val="22"/>
        </w:rPr>
        <w:t xml:space="preserve">of the assets for which the funds are raised through issue of securities </w:t>
      </w:r>
      <w:r>
        <w:rPr>
          <w:rFonts w:ascii="Century Gothic" w:hAnsi="Century Gothic"/>
          <w:sz w:val="22"/>
          <w:szCs w:val="22"/>
        </w:rPr>
        <w:t xml:space="preserve">for </w:t>
      </w:r>
      <w:r w:rsidR="00061F87">
        <w:rPr>
          <w:rFonts w:ascii="Century Gothic" w:hAnsi="Century Gothic"/>
          <w:sz w:val="22"/>
          <w:szCs w:val="22"/>
        </w:rPr>
        <w:t>public</w:t>
      </w:r>
      <w:r>
        <w:rPr>
          <w:rFonts w:ascii="Century Gothic" w:hAnsi="Century Gothic"/>
          <w:sz w:val="22"/>
          <w:szCs w:val="22"/>
        </w:rPr>
        <w:t xml:space="preserve"> offering</w:t>
      </w:r>
      <w:r w:rsidR="00061F87">
        <w:rPr>
          <w:rFonts w:ascii="Century Gothic" w:hAnsi="Century Gothic"/>
          <w:sz w:val="22"/>
          <w:szCs w:val="22"/>
        </w:rPr>
        <w:t xml:space="preserve">. The funds raised through issue of securities by such institutions shall be pooled in a special account and any withdrawal from such account shall take place under the supervision and with </w:t>
      </w:r>
      <w:r>
        <w:rPr>
          <w:rFonts w:ascii="Century Gothic" w:hAnsi="Century Gothic"/>
          <w:sz w:val="22"/>
          <w:szCs w:val="22"/>
        </w:rPr>
        <w:t xml:space="preserve">the </w:t>
      </w:r>
      <w:r w:rsidR="00061F87">
        <w:rPr>
          <w:rFonts w:ascii="Century Gothic" w:hAnsi="Century Gothic"/>
          <w:sz w:val="22"/>
          <w:szCs w:val="22"/>
        </w:rPr>
        <w:t xml:space="preserve">approval of the Organization. The </w:t>
      </w:r>
      <w:r w:rsidR="00997F7C">
        <w:rPr>
          <w:rFonts w:ascii="Century Gothic" w:hAnsi="Century Gothic"/>
          <w:sz w:val="22"/>
          <w:szCs w:val="22"/>
        </w:rPr>
        <w:t xml:space="preserve">regulations governing the activities of the </w:t>
      </w:r>
      <w:r w:rsidR="00D64019">
        <w:rPr>
          <w:rFonts w:ascii="Century Gothic" w:hAnsi="Century Gothic"/>
          <w:sz w:val="22"/>
          <w:szCs w:val="22"/>
        </w:rPr>
        <w:t xml:space="preserve">SPVs </w:t>
      </w:r>
      <w:r w:rsidR="00997F7C">
        <w:rPr>
          <w:rFonts w:ascii="Century Gothic" w:hAnsi="Century Gothic"/>
          <w:sz w:val="22"/>
          <w:szCs w:val="22"/>
        </w:rPr>
        <w:t>shall, within three months</w:t>
      </w:r>
      <w:r>
        <w:rPr>
          <w:rFonts w:ascii="Century Gothic" w:hAnsi="Century Gothic"/>
          <w:sz w:val="22"/>
          <w:szCs w:val="22"/>
        </w:rPr>
        <w:t>,</w:t>
      </w:r>
      <w:r w:rsidR="00997F7C">
        <w:rPr>
          <w:rFonts w:ascii="Century Gothic" w:hAnsi="Century Gothic"/>
          <w:sz w:val="22"/>
          <w:szCs w:val="22"/>
        </w:rPr>
        <w:t xml:space="preserve"> be approved by the Securities and Exchange High </w:t>
      </w:r>
      <w:r w:rsidR="00BA085A">
        <w:rPr>
          <w:rFonts w:ascii="Century Gothic" w:hAnsi="Century Gothic"/>
          <w:sz w:val="22"/>
          <w:szCs w:val="22"/>
        </w:rPr>
        <w:t xml:space="preserve">Council </w:t>
      </w:r>
      <w:r w:rsidR="007E5012">
        <w:rPr>
          <w:rFonts w:ascii="Century Gothic" w:hAnsi="Century Gothic"/>
          <w:sz w:val="22"/>
          <w:szCs w:val="22"/>
        </w:rPr>
        <w:t>upo</w:t>
      </w:r>
      <w:r>
        <w:rPr>
          <w:rFonts w:ascii="Century Gothic" w:hAnsi="Century Gothic"/>
          <w:sz w:val="22"/>
          <w:szCs w:val="22"/>
        </w:rPr>
        <w:t>n the recommendation of the O</w:t>
      </w:r>
      <w:r w:rsidR="007E5012">
        <w:rPr>
          <w:rFonts w:ascii="Century Gothic" w:hAnsi="Century Gothic"/>
          <w:sz w:val="22"/>
          <w:szCs w:val="22"/>
        </w:rPr>
        <w:t xml:space="preserve">rganization. </w:t>
      </w:r>
    </w:p>
    <w:p w:rsidR="00463AD0" w:rsidRDefault="00463AD0" w:rsidP="007E5012">
      <w:pPr>
        <w:spacing w:line="360" w:lineRule="auto"/>
        <w:ind w:left="1080" w:hanging="1080"/>
        <w:jc w:val="both"/>
        <w:rPr>
          <w:rFonts w:ascii="Century Gothic" w:hAnsi="Century Gothic"/>
          <w:b/>
          <w:bCs/>
          <w:sz w:val="22"/>
          <w:szCs w:val="22"/>
        </w:rPr>
      </w:pPr>
    </w:p>
    <w:p w:rsidR="00463AD0" w:rsidRDefault="00463AD0" w:rsidP="007E5012">
      <w:pPr>
        <w:spacing w:line="360" w:lineRule="auto"/>
        <w:ind w:left="1080" w:hanging="1080"/>
        <w:jc w:val="both"/>
        <w:rPr>
          <w:rFonts w:ascii="Century Gothic" w:hAnsi="Century Gothic"/>
          <w:b/>
          <w:bCs/>
          <w:sz w:val="22"/>
          <w:szCs w:val="22"/>
        </w:rPr>
      </w:pPr>
    </w:p>
    <w:p w:rsidR="00F60424" w:rsidRDefault="00F60424" w:rsidP="007E5012">
      <w:pPr>
        <w:spacing w:line="360" w:lineRule="auto"/>
        <w:ind w:left="1080" w:hanging="1080"/>
        <w:jc w:val="both"/>
        <w:rPr>
          <w:rFonts w:ascii="Century Gothic" w:hAnsi="Century Gothic"/>
          <w:b/>
          <w:bCs/>
          <w:sz w:val="22"/>
          <w:szCs w:val="22"/>
        </w:rPr>
      </w:pPr>
      <w:r>
        <w:rPr>
          <w:rFonts w:ascii="Century Gothic" w:hAnsi="Century Gothic"/>
          <w:b/>
          <w:bCs/>
          <w:sz w:val="22"/>
          <w:szCs w:val="22"/>
        </w:rPr>
        <w:lastRenderedPageBreak/>
        <w:t xml:space="preserve">Article </w:t>
      </w:r>
      <w:r w:rsidR="007E5012">
        <w:rPr>
          <w:rFonts w:ascii="Century Gothic" w:hAnsi="Century Gothic"/>
          <w:b/>
          <w:bCs/>
          <w:sz w:val="22"/>
          <w:szCs w:val="22"/>
        </w:rPr>
        <w:t>12</w:t>
      </w:r>
      <w:r>
        <w:rPr>
          <w:rFonts w:ascii="Century Gothic" w:hAnsi="Century Gothic"/>
          <w:b/>
          <w:bCs/>
          <w:sz w:val="22"/>
          <w:szCs w:val="22"/>
        </w:rPr>
        <w:t xml:space="preserve">: </w:t>
      </w:r>
    </w:p>
    <w:p w:rsidR="00F60424" w:rsidRDefault="00130482" w:rsidP="00660BE4">
      <w:pPr>
        <w:spacing w:line="360" w:lineRule="auto"/>
        <w:jc w:val="both"/>
        <w:rPr>
          <w:rFonts w:ascii="Century Gothic" w:hAnsi="Century Gothic"/>
          <w:sz w:val="22"/>
          <w:szCs w:val="22"/>
        </w:rPr>
      </w:pPr>
      <w:r>
        <w:rPr>
          <w:rFonts w:ascii="Century Gothic" w:hAnsi="Century Gothic"/>
          <w:sz w:val="22"/>
          <w:szCs w:val="22"/>
        </w:rPr>
        <w:t>The proceed</w:t>
      </w:r>
      <w:r w:rsidR="00EF049A">
        <w:rPr>
          <w:rFonts w:ascii="Century Gothic" w:hAnsi="Century Gothic"/>
          <w:sz w:val="22"/>
          <w:szCs w:val="22"/>
        </w:rPr>
        <w:t>s</w:t>
      </w:r>
      <w:r>
        <w:rPr>
          <w:rFonts w:ascii="Century Gothic" w:hAnsi="Century Gothic"/>
          <w:sz w:val="22"/>
          <w:szCs w:val="22"/>
        </w:rPr>
        <w:t xml:space="preserve"> gained from selling assets </w:t>
      </w:r>
      <w:r w:rsidR="00EF049A">
        <w:rPr>
          <w:rFonts w:ascii="Century Gothic" w:hAnsi="Century Gothic"/>
          <w:sz w:val="22"/>
          <w:szCs w:val="22"/>
        </w:rPr>
        <w:t xml:space="preserve">to the </w:t>
      </w:r>
      <w:r w:rsidR="003F2EE0">
        <w:rPr>
          <w:rFonts w:ascii="Century Gothic" w:hAnsi="Century Gothic"/>
          <w:sz w:val="22"/>
          <w:szCs w:val="22"/>
        </w:rPr>
        <w:t xml:space="preserve">SPV </w:t>
      </w:r>
      <w:r>
        <w:rPr>
          <w:rFonts w:ascii="Century Gothic" w:hAnsi="Century Gothic"/>
          <w:sz w:val="22"/>
          <w:szCs w:val="22"/>
        </w:rPr>
        <w:t>so as provide financial resources through public offering of securities shall be exempt from tax and no tax</w:t>
      </w:r>
      <w:r w:rsidR="00463AD0">
        <w:rPr>
          <w:rFonts w:ascii="Century Gothic" w:hAnsi="Century Gothic"/>
          <w:sz w:val="22"/>
          <w:szCs w:val="22"/>
        </w:rPr>
        <w:t xml:space="preserve"> and charges</w:t>
      </w:r>
      <w:r>
        <w:rPr>
          <w:rFonts w:ascii="Century Gothic" w:hAnsi="Century Gothic"/>
          <w:sz w:val="22"/>
          <w:szCs w:val="22"/>
        </w:rPr>
        <w:t xml:space="preserve"> whatsoever shall be levied on the transfer of such securities. The depreciation </w:t>
      </w:r>
      <w:r w:rsidR="00660BE4">
        <w:rPr>
          <w:rFonts w:ascii="Century Gothic" w:hAnsi="Century Gothic"/>
          <w:sz w:val="22"/>
          <w:szCs w:val="22"/>
        </w:rPr>
        <w:t>expenses</w:t>
      </w:r>
      <w:r>
        <w:rPr>
          <w:rFonts w:ascii="Century Gothic" w:hAnsi="Century Gothic"/>
          <w:sz w:val="22"/>
          <w:szCs w:val="22"/>
        </w:rPr>
        <w:t xml:space="preserve"> arising from assets value appreciation </w:t>
      </w:r>
      <w:r w:rsidR="00AB732E">
        <w:rPr>
          <w:rFonts w:ascii="Century Gothic" w:hAnsi="Century Gothic"/>
          <w:sz w:val="22"/>
          <w:szCs w:val="22"/>
        </w:rPr>
        <w:t xml:space="preserve">in the repurchase of the same assets by the seller, in whichever manner, shall not be </w:t>
      </w:r>
      <w:r w:rsidR="00EF049A">
        <w:rPr>
          <w:rFonts w:ascii="Century Gothic" w:hAnsi="Century Gothic"/>
          <w:sz w:val="22"/>
          <w:szCs w:val="22"/>
        </w:rPr>
        <w:t xml:space="preserve">regarded as </w:t>
      </w:r>
      <w:r w:rsidR="00AB732E">
        <w:rPr>
          <w:rFonts w:ascii="Century Gothic" w:hAnsi="Century Gothic"/>
          <w:sz w:val="22"/>
          <w:szCs w:val="22"/>
        </w:rPr>
        <w:t xml:space="preserve">parts of the </w:t>
      </w:r>
      <w:r w:rsidR="00660BE4">
        <w:rPr>
          <w:rFonts w:ascii="Century Gothic" w:hAnsi="Century Gothic"/>
          <w:sz w:val="22"/>
          <w:szCs w:val="22"/>
        </w:rPr>
        <w:t>tax deductable</w:t>
      </w:r>
      <w:r w:rsidR="00AB732E">
        <w:rPr>
          <w:rFonts w:ascii="Century Gothic" w:hAnsi="Century Gothic"/>
          <w:sz w:val="22"/>
          <w:szCs w:val="22"/>
        </w:rPr>
        <w:t xml:space="preserve">. </w:t>
      </w:r>
    </w:p>
    <w:p w:rsidR="00DE258B" w:rsidRDefault="00DE258B" w:rsidP="00DE258B">
      <w:pPr>
        <w:spacing w:line="360" w:lineRule="auto"/>
        <w:ind w:left="1080" w:hanging="1080"/>
        <w:jc w:val="both"/>
        <w:rPr>
          <w:rFonts w:ascii="Century Gothic" w:hAnsi="Century Gothic"/>
          <w:b/>
          <w:bCs/>
          <w:sz w:val="22"/>
          <w:szCs w:val="22"/>
        </w:rPr>
      </w:pPr>
    </w:p>
    <w:p w:rsidR="00DE258B" w:rsidRDefault="00DE258B" w:rsidP="00DE258B">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13: </w:t>
      </w:r>
    </w:p>
    <w:p w:rsidR="00DE258B" w:rsidRDefault="00DE258B" w:rsidP="00660BE4">
      <w:pPr>
        <w:spacing w:line="360" w:lineRule="auto"/>
        <w:jc w:val="both"/>
        <w:rPr>
          <w:rFonts w:ascii="Century Gothic" w:hAnsi="Century Gothic"/>
          <w:sz w:val="22"/>
          <w:szCs w:val="22"/>
        </w:rPr>
      </w:pPr>
      <w:r>
        <w:rPr>
          <w:rFonts w:ascii="Century Gothic" w:hAnsi="Century Gothic"/>
          <w:sz w:val="22"/>
          <w:szCs w:val="22"/>
        </w:rPr>
        <w:t>The man</w:t>
      </w:r>
      <w:r w:rsidR="00EF049A">
        <w:rPr>
          <w:rFonts w:ascii="Century Gothic" w:hAnsi="Century Gothic"/>
          <w:sz w:val="22"/>
          <w:szCs w:val="22"/>
        </w:rPr>
        <w:t>a</w:t>
      </w:r>
      <w:r>
        <w:rPr>
          <w:rFonts w:ascii="Century Gothic" w:hAnsi="Century Gothic"/>
          <w:sz w:val="22"/>
          <w:szCs w:val="22"/>
        </w:rPr>
        <w:t>gers of financial institutions, issuers of securities and self-regulat</w:t>
      </w:r>
      <w:r w:rsidR="00660BE4">
        <w:rPr>
          <w:rFonts w:ascii="Century Gothic" w:hAnsi="Century Gothic"/>
          <w:sz w:val="22"/>
          <w:szCs w:val="22"/>
        </w:rPr>
        <w:t>ory</w:t>
      </w:r>
      <w:r>
        <w:rPr>
          <w:rFonts w:ascii="Century Gothic" w:hAnsi="Century Gothic"/>
          <w:sz w:val="22"/>
          <w:szCs w:val="22"/>
        </w:rPr>
        <w:t xml:space="preserve"> </w:t>
      </w:r>
      <w:r w:rsidR="00EF049A">
        <w:rPr>
          <w:rFonts w:ascii="Century Gothic" w:hAnsi="Century Gothic"/>
          <w:sz w:val="22"/>
          <w:szCs w:val="22"/>
        </w:rPr>
        <w:t>o</w:t>
      </w:r>
      <w:r>
        <w:rPr>
          <w:rFonts w:ascii="Century Gothic" w:hAnsi="Century Gothic"/>
          <w:sz w:val="22"/>
          <w:szCs w:val="22"/>
        </w:rPr>
        <w:t xml:space="preserve">rganizations inclusive of the board members and the managing director shall not have a record of effective absolute criminal conviction and shall hold the required professional qualifications. In the case of </w:t>
      </w:r>
      <w:r w:rsidR="00C85E0F">
        <w:rPr>
          <w:rFonts w:ascii="Century Gothic" w:hAnsi="Century Gothic"/>
          <w:sz w:val="22"/>
          <w:szCs w:val="22"/>
        </w:rPr>
        <w:t xml:space="preserve">ineligibility </w:t>
      </w:r>
      <w:r>
        <w:rPr>
          <w:rFonts w:ascii="Century Gothic" w:hAnsi="Century Gothic"/>
          <w:sz w:val="22"/>
          <w:szCs w:val="22"/>
        </w:rPr>
        <w:t xml:space="preserve">or their professional disqualification, the appointing authority shall have to reject their appointment to the said positions and/or remove the directors so appointed from their positions. The requirements and </w:t>
      </w:r>
      <w:r w:rsidR="00EF049A">
        <w:rPr>
          <w:rFonts w:ascii="Century Gothic" w:hAnsi="Century Gothic"/>
          <w:sz w:val="22"/>
          <w:szCs w:val="22"/>
        </w:rPr>
        <w:t xml:space="preserve">criteria for </w:t>
      </w:r>
      <w:r>
        <w:rPr>
          <w:rFonts w:ascii="Century Gothic" w:hAnsi="Century Gothic"/>
          <w:sz w:val="22"/>
          <w:szCs w:val="22"/>
        </w:rPr>
        <w:t xml:space="preserve">the professional qualifications </w:t>
      </w:r>
      <w:r w:rsidR="00C87BA1">
        <w:rPr>
          <w:rFonts w:ascii="Century Gothic" w:hAnsi="Century Gothic"/>
          <w:sz w:val="22"/>
          <w:szCs w:val="22"/>
        </w:rPr>
        <w:t xml:space="preserve">of the said directors merely in terms of education background and related job experiences and also the method of their disqualification by the </w:t>
      </w:r>
      <w:r w:rsidR="00452093">
        <w:rPr>
          <w:rFonts w:ascii="Century Gothic" w:hAnsi="Century Gothic"/>
          <w:sz w:val="22"/>
          <w:szCs w:val="22"/>
        </w:rPr>
        <w:t>Organiz</w:t>
      </w:r>
      <w:r w:rsidR="00641F88">
        <w:rPr>
          <w:rFonts w:ascii="Century Gothic" w:hAnsi="Century Gothic"/>
          <w:sz w:val="22"/>
          <w:szCs w:val="22"/>
        </w:rPr>
        <w:t>ation shall be provided in a by</w:t>
      </w:r>
      <w:r w:rsidR="00452093">
        <w:rPr>
          <w:rFonts w:ascii="Century Gothic" w:hAnsi="Century Gothic"/>
          <w:sz w:val="22"/>
          <w:szCs w:val="22"/>
        </w:rPr>
        <w:t>law which shall</w:t>
      </w:r>
      <w:r w:rsidR="00EF049A">
        <w:rPr>
          <w:rFonts w:ascii="Century Gothic" w:hAnsi="Century Gothic"/>
          <w:sz w:val="22"/>
          <w:szCs w:val="22"/>
        </w:rPr>
        <w:t>,</w:t>
      </w:r>
      <w:r w:rsidR="00452093">
        <w:rPr>
          <w:rFonts w:ascii="Century Gothic" w:hAnsi="Century Gothic"/>
          <w:sz w:val="22"/>
          <w:szCs w:val="22"/>
        </w:rPr>
        <w:t xml:space="preserve"> upon </w:t>
      </w:r>
      <w:r w:rsidR="007F4739">
        <w:rPr>
          <w:rFonts w:ascii="Century Gothic" w:hAnsi="Century Gothic"/>
          <w:sz w:val="22"/>
          <w:szCs w:val="22"/>
        </w:rPr>
        <w:t xml:space="preserve">the </w:t>
      </w:r>
      <w:r w:rsidR="00452093">
        <w:rPr>
          <w:rFonts w:ascii="Century Gothic" w:hAnsi="Century Gothic"/>
          <w:sz w:val="22"/>
          <w:szCs w:val="22"/>
        </w:rPr>
        <w:t>recommendation of the Securities and Exchange High Council, be approved by the Council of Ministers</w:t>
      </w:r>
      <w:r w:rsidR="007F4739">
        <w:rPr>
          <w:rFonts w:ascii="Century Gothic" w:hAnsi="Century Gothic"/>
          <w:sz w:val="22"/>
          <w:szCs w:val="22"/>
        </w:rPr>
        <w:t xml:space="preserve"> (the </w:t>
      </w:r>
      <w:r w:rsidR="008C4B75">
        <w:rPr>
          <w:rFonts w:ascii="Century Gothic" w:hAnsi="Century Gothic"/>
          <w:sz w:val="22"/>
          <w:szCs w:val="22"/>
        </w:rPr>
        <w:t>C</w:t>
      </w:r>
      <w:r w:rsidR="007F4739">
        <w:rPr>
          <w:rFonts w:ascii="Century Gothic" w:hAnsi="Century Gothic"/>
          <w:sz w:val="22"/>
          <w:szCs w:val="22"/>
        </w:rPr>
        <w:t>abinet)</w:t>
      </w:r>
      <w:r w:rsidR="00452093">
        <w:rPr>
          <w:rFonts w:ascii="Century Gothic" w:hAnsi="Century Gothic"/>
          <w:sz w:val="22"/>
          <w:szCs w:val="22"/>
        </w:rPr>
        <w:t xml:space="preserve">. </w:t>
      </w:r>
    </w:p>
    <w:p w:rsidR="000E2325" w:rsidRDefault="000E2325" w:rsidP="00452093">
      <w:pPr>
        <w:spacing w:line="360" w:lineRule="auto"/>
        <w:ind w:left="1080" w:hanging="1080"/>
        <w:jc w:val="both"/>
        <w:rPr>
          <w:rFonts w:ascii="Century Gothic" w:hAnsi="Century Gothic"/>
          <w:b/>
          <w:bCs/>
          <w:sz w:val="22"/>
          <w:szCs w:val="22"/>
        </w:rPr>
      </w:pPr>
    </w:p>
    <w:p w:rsidR="00DE258B" w:rsidRDefault="00DE258B" w:rsidP="00452093">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452093">
        <w:rPr>
          <w:rFonts w:ascii="Century Gothic" w:hAnsi="Century Gothic"/>
          <w:b/>
          <w:bCs/>
          <w:sz w:val="22"/>
          <w:szCs w:val="22"/>
        </w:rPr>
        <w:t>14</w:t>
      </w:r>
      <w:r>
        <w:rPr>
          <w:rFonts w:ascii="Century Gothic" w:hAnsi="Century Gothic"/>
          <w:b/>
          <w:bCs/>
          <w:sz w:val="22"/>
          <w:szCs w:val="22"/>
        </w:rPr>
        <w:t xml:space="preserve">: </w:t>
      </w:r>
    </w:p>
    <w:p w:rsidR="00DE258B" w:rsidRDefault="00B7459A" w:rsidP="00641F88">
      <w:pPr>
        <w:spacing w:line="360" w:lineRule="auto"/>
        <w:jc w:val="both"/>
        <w:rPr>
          <w:rFonts w:ascii="Century Gothic" w:hAnsi="Century Gothic"/>
          <w:sz w:val="22"/>
          <w:szCs w:val="22"/>
        </w:rPr>
      </w:pPr>
      <w:r>
        <w:rPr>
          <w:rFonts w:ascii="Century Gothic" w:hAnsi="Century Gothic"/>
          <w:sz w:val="22"/>
          <w:szCs w:val="22"/>
        </w:rPr>
        <w:t>The issuers of securities, financial in</w:t>
      </w:r>
      <w:r w:rsidR="008C4B75">
        <w:rPr>
          <w:rFonts w:ascii="Century Gothic" w:hAnsi="Century Gothic"/>
          <w:sz w:val="22"/>
          <w:szCs w:val="22"/>
        </w:rPr>
        <w:t>stitutions and self-regulat</w:t>
      </w:r>
      <w:r w:rsidR="00660BE4">
        <w:rPr>
          <w:rFonts w:ascii="Century Gothic" w:hAnsi="Century Gothic"/>
          <w:sz w:val="22"/>
          <w:szCs w:val="22"/>
        </w:rPr>
        <w:t>ory</w:t>
      </w:r>
      <w:r w:rsidR="008C4B75">
        <w:rPr>
          <w:rFonts w:ascii="Century Gothic" w:hAnsi="Century Gothic"/>
          <w:sz w:val="22"/>
          <w:szCs w:val="22"/>
        </w:rPr>
        <w:t xml:space="preserve"> o</w:t>
      </w:r>
      <w:r>
        <w:rPr>
          <w:rFonts w:ascii="Century Gothic" w:hAnsi="Century Gothic"/>
          <w:sz w:val="22"/>
          <w:szCs w:val="22"/>
        </w:rPr>
        <w:t xml:space="preserve">rganizations and also the persons who are appointed as their directors shall be deemed </w:t>
      </w:r>
      <w:r w:rsidR="008C4B75">
        <w:rPr>
          <w:rFonts w:ascii="Century Gothic" w:hAnsi="Century Gothic"/>
          <w:sz w:val="22"/>
          <w:szCs w:val="22"/>
        </w:rPr>
        <w:t xml:space="preserve">to be violators </w:t>
      </w:r>
      <w:r>
        <w:rPr>
          <w:rFonts w:ascii="Century Gothic" w:hAnsi="Century Gothic"/>
          <w:sz w:val="22"/>
          <w:szCs w:val="22"/>
        </w:rPr>
        <w:t xml:space="preserve">in the case of infringing </w:t>
      </w:r>
      <w:r w:rsidR="008C4B75">
        <w:rPr>
          <w:rFonts w:ascii="Century Gothic" w:hAnsi="Century Gothic"/>
          <w:sz w:val="22"/>
          <w:szCs w:val="22"/>
        </w:rPr>
        <w:t xml:space="preserve">the </w:t>
      </w:r>
      <w:r w:rsidR="00333AC5">
        <w:rPr>
          <w:rFonts w:ascii="Century Gothic" w:hAnsi="Century Gothic"/>
          <w:sz w:val="22"/>
          <w:szCs w:val="22"/>
        </w:rPr>
        <w:t xml:space="preserve">laws and regulations relating to the activity of each of them and the Organization shall have the authority to receive cash penalty from </w:t>
      </w:r>
      <w:r w:rsidR="008C4B75">
        <w:rPr>
          <w:rFonts w:ascii="Century Gothic" w:hAnsi="Century Gothic"/>
          <w:sz w:val="22"/>
          <w:szCs w:val="22"/>
        </w:rPr>
        <w:t xml:space="preserve">the </w:t>
      </w:r>
      <w:r w:rsidR="00333AC5">
        <w:rPr>
          <w:rFonts w:ascii="Century Gothic" w:hAnsi="Century Gothic"/>
          <w:sz w:val="22"/>
          <w:szCs w:val="22"/>
        </w:rPr>
        <w:t>vi</w:t>
      </w:r>
      <w:r w:rsidR="008C4B75">
        <w:rPr>
          <w:rFonts w:ascii="Century Gothic" w:hAnsi="Century Gothic"/>
          <w:sz w:val="22"/>
          <w:szCs w:val="22"/>
        </w:rPr>
        <w:t>o</w:t>
      </w:r>
      <w:r w:rsidR="00333AC5">
        <w:rPr>
          <w:rFonts w:ascii="Century Gothic" w:hAnsi="Century Gothic"/>
          <w:sz w:val="22"/>
          <w:szCs w:val="22"/>
        </w:rPr>
        <w:t>l</w:t>
      </w:r>
      <w:r w:rsidR="008C4B75">
        <w:rPr>
          <w:rFonts w:ascii="Century Gothic" w:hAnsi="Century Gothic"/>
          <w:sz w:val="22"/>
          <w:szCs w:val="22"/>
        </w:rPr>
        <w:t>a</w:t>
      </w:r>
      <w:r w:rsidR="00333AC5">
        <w:rPr>
          <w:rFonts w:ascii="Century Gothic" w:hAnsi="Century Gothic"/>
          <w:sz w:val="22"/>
          <w:szCs w:val="22"/>
        </w:rPr>
        <w:t>tor</w:t>
      </w:r>
      <w:r w:rsidR="008C4B75">
        <w:rPr>
          <w:rFonts w:ascii="Century Gothic" w:hAnsi="Century Gothic"/>
          <w:sz w:val="22"/>
          <w:szCs w:val="22"/>
        </w:rPr>
        <w:t>s</w:t>
      </w:r>
      <w:r w:rsidR="00333AC5">
        <w:rPr>
          <w:rFonts w:ascii="Century Gothic" w:hAnsi="Century Gothic"/>
          <w:sz w:val="22"/>
          <w:szCs w:val="22"/>
        </w:rPr>
        <w:t xml:space="preserve"> from ten million (10,000,000) </w:t>
      </w:r>
      <w:r w:rsidR="00660BE4">
        <w:rPr>
          <w:rFonts w:ascii="Century Gothic" w:hAnsi="Century Gothic"/>
          <w:sz w:val="22"/>
          <w:szCs w:val="22"/>
        </w:rPr>
        <w:t>R</w:t>
      </w:r>
      <w:r w:rsidR="00333AC5">
        <w:rPr>
          <w:rFonts w:ascii="Century Gothic" w:hAnsi="Century Gothic"/>
          <w:sz w:val="22"/>
          <w:szCs w:val="22"/>
        </w:rPr>
        <w:t xml:space="preserve">ials to one billion (1,000,000,000) </w:t>
      </w:r>
      <w:r w:rsidR="00660BE4">
        <w:rPr>
          <w:rFonts w:ascii="Century Gothic" w:hAnsi="Century Gothic"/>
          <w:sz w:val="22"/>
          <w:szCs w:val="22"/>
        </w:rPr>
        <w:t>R</w:t>
      </w:r>
      <w:r w:rsidR="00333AC5">
        <w:rPr>
          <w:rFonts w:ascii="Century Gothic" w:hAnsi="Century Gothic"/>
          <w:sz w:val="22"/>
          <w:szCs w:val="22"/>
        </w:rPr>
        <w:t xml:space="preserve">ials and credit such penalty </w:t>
      </w:r>
      <w:r w:rsidR="009E7A2A">
        <w:rPr>
          <w:rFonts w:ascii="Century Gothic" w:hAnsi="Century Gothic"/>
          <w:sz w:val="22"/>
          <w:szCs w:val="22"/>
        </w:rPr>
        <w:t xml:space="preserve">to the treasury account in addition to the disciplinary actions prescribed in articles (7) and (35) of the Securities Market </w:t>
      </w:r>
      <w:r w:rsidR="00641F88">
        <w:rPr>
          <w:rFonts w:ascii="Century Gothic" w:hAnsi="Century Gothic"/>
          <w:sz w:val="22"/>
          <w:szCs w:val="22"/>
        </w:rPr>
        <w:t>Act</w:t>
      </w:r>
      <w:r w:rsidR="009E7A2A">
        <w:rPr>
          <w:rFonts w:ascii="Century Gothic" w:hAnsi="Century Gothic"/>
          <w:sz w:val="22"/>
          <w:szCs w:val="22"/>
        </w:rPr>
        <w:t xml:space="preserve"> of</w:t>
      </w:r>
      <w:r w:rsidR="00641F88">
        <w:rPr>
          <w:rFonts w:ascii="Century Gothic" w:hAnsi="Century Gothic"/>
          <w:sz w:val="22"/>
          <w:szCs w:val="22"/>
        </w:rPr>
        <w:t xml:space="preserve"> the I.R.I. The by</w:t>
      </w:r>
      <w:r w:rsidR="009E7A2A">
        <w:rPr>
          <w:rFonts w:ascii="Century Gothic" w:hAnsi="Century Gothic"/>
          <w:sz w:val="22"/>
          <w:szCs w:val="22"/>
        </w:rPr>
        <w:t xml:space="preserve">law governing the amount of cash penalty in keeping with the act committed shall be drafted upon the joint </w:t>
      </w:r>
      <w:r w:rsidR="009E7A2A">
        <w:rPr>
          <w:rFonts w:ascii="Century Gothic" w:hAnsi="Century Gothic"/>
          <w:sz w:val="22"/>
          <w:szCs w:val="22"/>
        </w:rPr>
        <w:lastRenderedPageBreak/>
        <w:t>recommendations of the Ministry of Economic Affairs a</w:t>
      </w:r>
      <w:r w:rsidR="00BF0C2A">
        <w:rPr>
          <w:rFonts w:ascii="Century Gothic" w:hAnsi="Century Gothic"/>
          <w:sz w:val="22"/>
          <w:szCs w:val="22"/>
        </w:rPr>
        <w:t>n</w:t>
      </w:r>
      <w:r w:rsidR="009E7A2A">
        <w:rPr>
          <w:rFonts w:ascii="Century Gothic" w:hAnsi="Century Gothic"/>
          <w:sz w:val="22"/>
          <w:szCs w:val="22"/>
        </w:rPr>
        <w:t xml:space="preserve">d </w:t>
      </w:r>
      <w:r w:rsidR="008C4B75">
        <w:rPr>
          <w:rFonts w:ascii="Century Gothic" w:hAnsi="Century Gothic"/>
          <w:sz w:val="22"/>
          <w:szCs w:val="22"/>
        </w:rPr>
        <w:t>F</w:t>
      </w:r>
      <w:r w:rsidR="009E7A2A">
        <w:rPr>
          <w:rFonts w:ascii="Century Gothic" w:hAnsi="Century Gothic"/>
          <w:sz w:val="22"/>
          <w:szCs w:val="22"/>
        </w:rPr>
        <w:t xml:space="preserve">inance and the </w:t>
      </w:r>
      <w:r w:rsidR="004B0459">
        <w:rPr>
          <w:rFonts w:ascii="Century Gothic" w:hAnsi="Century Gothic"/>
          <w:sz w:val="22"/>
          <w:szCs w:val="22"/>
        </w:rPr>
        <w:t>Ministry of Justice for the approval of the Council of Ministers</w:t>
      </w:r>
      <w:r w:rsidR="008C4B75">
        <w:rPr>
          <w:rFonts w:ascii="Century Gothic" w:hAnsi="Century Gothic"/>
          <w:sz w:val="22"/>
          <w:szCs w:val="22"/>
        </w:rPr>
        <w:t xml:space="preserve"> (the Cabinet)</w:t>
      </w:r>
      <w:r w:rsidR="004B0459">
        <w:rPr>
          <w:rFonts w:ascii="Century Gothic" w:hAnsi="Century Gothic"/>
          <w:sz w:val="22"/>
          <w:szCs w:val="22"/>
        </w:rPr>
        <w:t xml:space="preserve">. </w:t>
      </w:r>
    </w:p>
    <w:p w:rsidR="00BF0C2A" w:rsidRPr="00DC778E" w:rsidRDefault="00BF0C2A" w:rsidP="00660BE4">
      <w:pPr>
        <w:spacing w:line="360" w:lineRule="auto"/>
        <w:ind w:left="720"/>
        <w:jc w:val="both"/>
        <w:rPr>
          <w:rFonts w:ascii="Century Gothic" w:hAnsi="Century Gothic"/>
          <w:sz w:val="22"/>
          <w:szCs w:val="22"/>
        </w:rPr>
      </w:pPr>
      <w:r>
        <w:rPr>
          <w:rFonts w:ascii="Century Gothic" w:hAnsi="Century Gothic"/>
          <w:b/>
          <w:bCs/>
          <w:sz w:val="22"/>
          <w:szCs w:val="22"/>
        </w:rPr>
        <w:t>Note 1</w:t>
      </w:r>
      <w:r w:rsidRPr="00CC48E4">
        <w:rPr>
          <w:rFonts w:ascii="Century Gothic" w:hAnsi="Century Gothic"/>
          <w:b/>
          <w:bCs/>
          <w:sz w:val="22"/>
          <w:szCs w:val="22"/>
        </w:rPr>
        <w:t>:</w:t>
      </w:r>
      <w:r>
        <w:rPr>
          <w:rFonts w:ascii="Century Gothic" w:hAnsi="Century Gothic"/>
          <w:sz w:val="22"/>
          <w:szCs w:val="22"/>
        </w:rPr>
        <w:t xml:space="preserve"> </w:t>
      </w:r>
      <w:r w:rsidR="00922588">
        <w:rPr>
          <w:rFonts w:ascii="Century Gothic" w:hAnsi="Century Gothic"/>
          <w:sz w:val="22"/>
          <w:szCs w:val="22"/>
        </w:rPr>
        <w:t xml:space="preserve">The sums of cash penalty shall, once every three years, </w:t>
      </w:r>
      <w:r w:rsidR="00390B75">
        <w:rPr>
          <w:rFonts w:ascii="Century Gothic" w:hAnsi="Century Gothic"/>
          <w:sz w:val="22"/>
          <w:szCs w:val="22"/>
        </w:rPr>
        <w:t>b</w:t>
      </w:r>
      <w:r w:rsidR="00922588">
        <w:rPr>
          <w:rFonts w:ascii="Century Gothic" w:hAnsi="Century Gothic"/>
          <w:sz w:val="22"/>
          <w:szCs w:val="22"/>
        </w:rPr>
        <w:t xml:space="preserve">e modified upon </w:t>
      </w:r>
      <w:r w:rsidR="00390B75">
        <w:rPr>
          <w:rFonts w:ascii="Century Gothic" w:hAnsi="Century Gothic"/>
          <w:sz w:val="22"/>
          <w:szCs w:val="22"/>
        </w:rPr>
        <w:t xml:space="preserve">the </w:t>
      </w:r>
      <w:r w:rsidR="00922588">
        <w:rPr>
          <w:rFonts w:ascii="Century Gothic" w:hAnsi="Century Gothic"/>
          <w:sz w:val="22"/>
          <w:szCs w:val="22"/>
        </w:rPr>
        <w:t xml:space="preserve">recommendation of the Securities and Exchange High Council and approval of the Council of Ministers in agreement with the </w:t>
      </w:r>
      <w:r w:rsidR="00660BE4">
        <w:rPr>
          <w:rFonts w:ascii="Century Gothic" w:hAnsi="Century Gothic"/>
          <w:sz w:val="22"/>
          <w:szCs w:val="22"/>
        </w:rPr>
        <w:t>Consumer Price Index (CPI)</w:t>
      </w:r>
      <w:r w:rsidR="00922588">
        <w:rPr>
          <w:rFonts w:ascii="Century Gothic" w:hAnsi="Century Gothic"/>
          <w:sz w:val="22"/>
          <w:szCs w:val="22"/>
        </w:rPr>
        <w:t xml:space="preserve"> which have officially been published by the Central Bank of I.R.I.</w:t>
      </w:r>
    </w:p>
    <w:p w:rsidR="00BF0C2A" w:rsidRDefault="00BF0C2A" w:rsidP="00660BE4">
      <w:pPr>
        <w:spacing w:line="360" w:lineRule="auto"/>
        <w:ind w:left="720"/>
        <w:jc w:val="both"/>
        <w:rPr>
          <w:rFonts w:ascii="Century Gothic" w:hAnsi="Century Gothic"/>
          <w:sz w:val="22"/>
          <w:szCs w:val="22"/>
        </w:rPr>
      </w:pPr>
      <w:r>
        <w:rPr>
          <w:rFonts w:ascii="Century Gothic" w:hAnsi="Century Gothic"/>
          <w:b/>
          <w:bCs/>
          <w:sz w:val="22"/>
          <w:szCs w:val="22"/>
        </w:rPr>
        <w:t>Note 2</w:t>
      </w:r>
      <w:r w:rsidRPr="00CC48E4">
        <w:rPr>
          <w:rFonts w:ascii="Century Gothic" w:hAnsi="Century Gothic"/>
          <w:b/>
          <w:bCs/>
          <w:sz w:val="22"/>
          <w:szCs w:val="22"/>
        </w:rPr>
        <w:t>:</w:t>
      </w:r>
      <w:r>
        <w:rPr>
          <w:rFonts w:ascii="Century Gothic" w:hAnsi="Century Gothic"/>
          <w:sz w:val="22"/>
          <w:szCs w:val="22"/>
        </w:rPr>
        <w:t xml:space="preserve"> </w:t>
      </w:r>
      <w:r w:rsidR="00922588">
        <w:rPr>
          <w:rFonts w:ascii="Century Gothic" w:hAnsi="Century Gothic"/>
          <w:sz w:val="22"/>
          <w:szCs w:val="22"/>
        </w:rPr>
        <w:t xml:space="preserve">The verdicts rendered with </w:t>
      </w:r>
      <w:r w:rsidR="009E374C">
        <w:rPr>
          <w:rFonts w:ascii="Century Gothic" w:hAnsi="Century Gothic"/>
          <w:sz w:val="22"/>
          <w:szCs w:val="22"/>
        </w:rPr>
        <w:t>regards to penalties shall be binding</w:t>
      </w:r>
      <w:r w:rsidR="00D07BF6">
        <w:rPr>
          <w:rFonts w:ascii="Century Gothic" w:hAnsi="Century Gothic"/>
          <w:sz w:val="22"/>
          <w:szCs w:val="22"/>
        </w:rPr>
        <w:t>.</w:t>
      </w:r>
      <w:r w:rsidR="009E374C">
        <w:rPr>
          <w:rFonts w:ascii="Century Gothic" w:hAnsi="Century Gothic"/>
          <w:sz w:val="22"/>
          <w:szCs w:val="22"/>
        </w:rPr>
        <w:t xml:space="preserve"> </w:t>
      </w:r>
      <w:r w:rsidR="00D07BF6">
        <w:rPr>
          <w:rFonts w:ascii="Century Gothic" w:hAnsi="Century Gothic"/>
          <w:sz w:val="22"/>
          <w:szCs w:val="22"/>
        </w:rPr>
        <w:t xml:space="preserve">Such </w:t>
      </w:r>
      <w:r w:rsidR="00660BE4">
        <w:rPr>
          <w:rFonts w:ascii="Century Gothic" w:hAnsi="Century Gothic"/>
          <w:sz w:val="22"/>
          <w:szCs w:val="22"/>
        </w:rPr>
        <w:t>penalties</w:t>
      </w:r>
      <w:r w:rsidR="00D07BF6">
        <w:rPr>
          <w:rFonts w:ascii="Century Gothic" w:hAnsi="Century Gothic"/>
          <w:sz w:val="22"/>
          <w:szCs w:val="22"/>
        </w:rPr>
        <w:t xml:space="preserve"> </w:t>
      </w:r>
      <w:r w:rsidR="009E374C">
        <w:rPr>
          <w:rFonts w:ascii="Century Gothic" w:hAnsi="Century Gothic"/>
          <w:sz w:val="22"/>
          <w:szCs w:val="22"/>
        </w:rPr>
        <w:t xml:space="preserve">can be collected </w:t>
      </w:r>
      <w:r w:rsidR="00212955">
        <w:rPr>
          <w:rFonts w:ascii="Century Gothic" w:hAnsi="Century Gothic"/>
          <w:sz w:val="22"/>
          <w:szCs w:val="22"/>
        </w:rPr>
        <w:t xml:space="preserve">through the executive divisions of Registration Department and the Courts' Judgments Enforcement Division.  </w:t>
      </w:r>
    </w:p>
    <w:p w:rsidR="00BF0C2A" w:rsidRDefault="00BF0C2A" w:rsidP="00641F88">
      <w:pPr>
        <w:spacing w:line="360" w:lineRule="auto"/>
        <w:ind w:left="720"/>
        <w:jc w:val="both"/>
        <w:rPr>
          <w:rFonts w:ascii="Century Gothic" w:hAnsi="Century Gothic"/>
          <w:sz w:val="22"/>
          <w:szCs w:val="22"/>
        </w:rPr>
      </w:pPr>
      <w:r>
        <w:rPr>
          <w:rFonts w:ascii="Century Gothic" w:hAnsi="Century Gothic"/>
          <w:b/>
          <w:bCs/>
          <w:sz w:val="22"/>
          <w:szCs w:val="22"/>
        </w:rPr>
        <w:t>Note 3</w:t>
      </w:r>
      <w:r w:rsidRPr="00CC48E4">
        <w:rPr>
          <w:rFonts w:ascii="Century Gothic" w:hAnsi="Century Gothic"/>
          <w:b/>
          <w:bCs/>
          <w:sz w:val="22"/>
          <w:szCs w:val="22"/>
        </w:rPr>
        <w:t>:</w:t>
      </w:r>
      <w:r>
        <w:rPr>
          <w:rFonts w:ascii="Century Gothic" w:hAnsi="Century Gothic"/>
          <w:sz w:val="22"/>
          <w:szCs w:val="22"/>
        </w:rPr>
        <w:t xml:space="preserve"> </w:t>
      </w:r>
      <w:r w:rsidR="00212955">
        <w:rPr>
          <w:rFonts w:ascii="Century Gothic" w:hAnsi="Century Gothic"/>
          <w:sz w:val="22"/>
          <w:szCs w:val="22"/>
        </w:rPr>
        <w:t xml:space="preserve">The Judiciary may </w:t>
      </w:r>
      <w:r w:rsidR="003F2EE0">
        <w:rPr>
          <w:rFonts w:ascii="Century Gothic" w:hAnsi="Century Gothic"/>
          <w:sz w:val="22"/>
          <w:szCs w:val="22"/>
        </w:rPr>
        <w:t xml:space="preserve">regard </w:t>
      </w:r>
      <w:r w:rsidR="00212955">
        <w:rPr>
          <w:rFonts w:ascii="Century Gothic" w:hAnsi="Century Gothic"/>
          <w:sz w:val="22"/>
          <w:szCs w:val="22"/>
        </w:rPr>
        <w:t xml:space="preserve">the Organization's report on the commission of offences </w:t>
      </w:r>
      <w:r w:rsidR="003F2EE0">
        <w:rPr>
          <w:rFonts w:ascii="Century Gothic" w:hAnsi="Century Gothic"/>
          <w:sz w:val="22"/>
          <w:szCs w:val="22"/>
        </w:rPr>
        <w:t>as the report of justice officers where</w:t>
      </w:r>
      <w:r w:rsidR="00212955">
        <w:rPr>
          <w:rFonts w:ascii="Century Gothic" w:hAnsi="Century Gothic"/>
          <w:sz w:val="22"/>
          <w:szCs w:val="22"/>
        </w:rPr>
        <w:t xml:space="preserve"> this Organization act</w:t>
      </w:r>
      <w:r w:rsidR="003F2EE0">
        <w:rPr>
          <w:rFonts w:ascii="Century Gothic" w:hAnsi="Century Gothic"/>
          <w:sz w:val="22"/>
          <w:szCs w:val="22"/>
        </w:rPr>
        <w:t>s</w:t>
      </w:r>
      <w:r w:rsidR="00212955">
        <w:rPr>
          <w:rFonts w:ascii="Century Gothic" w:hAnsi="Century Gothic"/>
          <w:sz w:val="22"/>
          <w:szCs w:val="22"/>
        </w:rPr>
        <w:t xml:space="preserve"> as a </w:t>
      </w:r>
      <w:r w:rsidR="00390B75">
        <w:rPr>
          <w:rFonts w:ascii="Century Gothic" w:hAnsi="Century Gothic"/>
          <w:sz w:val="22"/>
          <w:szCs w:val="22"/>
        </w:rPr>
        <w:t xml:space="preserve">complainant </w:t>
      </w:r>
      <w:r w:rsidR="00212955">
        <w:rPr>
          <w:rFonts w:ascii="Century Gothic" w:hAnsi="Century Gothic"/>
          <w:sz w:val="22"/>
          <w:szCs w:val="22"/>
        </w:rPr>
        <w:t>and</w:t>
      </w:r>
      <w:r w:rsidR="003F2EE0">
        <w:rPr>
          <w:rFonts w:ascii="Century Gothic" w:hAnsi="Century Gothic"/>
          <w:sz w:val="22"/>
          <w:szCs w:val="22"/>
        </w:rPr>
        <w:t>,</w:t>
      </w:r>
      <w:r w:rsidR="00212955">
        <w:rPr>
          <w:rFonts w:ascii="Century Gothic" w:hAnsi="Century Gothic"/>
          <w:sz w:val="22"/>
          <w:szCs w:val="22"/>
        </w:rPr>
        <w:t xml:space="preserve"> in pursuance of article (52) of the Securities Market </w:t>
      </w:r>
      <w:r w:rsidR="00641F88">
        <w:rPr>
          <w:rFonts w:ascii="Century Gothic" w:hAnsi="Century Gothic"/>
          <w:sz w:val="22"/>
          <w:szCs w:val="22"/>
        </w:rPr>
        <w:t>Act</w:t>
      </w:r>
      <w:r w:rsidR="00212955">
        <w:rPr>
          <w:rFonts w:ascii="Century Gothic" w:hAnsi="Century Gothic"/>
          <w:sz w:val="22"/>
          <w:szCs w:val="22"/>
        </w:rPr>
        <w:t xml:space="preserve"> of</w:t>
      </w:r>
      <w:r w:rsidR="00641F88">
        <w:rPr>
          <w:rFonts w:ascii="Century Gothic" w:hAnsi="Century Gothic"/>
          <w:sz w:val="22"/>
          <w:szCs w:val="22"/>
        </w:rPr>
        <w:t xml:space="preserve"> the</w:t>
      </w:r>
      <w:r w:rsidR="00212955">
        <w:rPr>
          <w:rFonts w:ascii="Century Gothic" w:hAnsi="Century Gothic"/>
          <w:sz w:val="22"/>
          <w:szCs w:val="22"/>
        </w:rPr>
        <w:t xml:space="preserve"> I.R.I.</w:t>
      </w:r>
      <w:r w:rsidR="00390B75">
        <w:rPr>
          <w:rFonts w:ascii="Century Gothic" w:hAnsi="Century Gothic"/>
          <w:sz w:val="22"/>
          <w:szCs w:val="22"/>
        </w:rPr>
        <w:t>,</w:t>
      </w:r>
      <w:r w:rsidR="00212955">
        <w:rPr>
          <w:rFonts w:ascii="Century Gothic" w:hAnsi="Century Gothic"/>
          <w:sz w:val="22"/>
          <w:szCs w:val="22"/>
        </w:rPr>
        <w:t xml:space="preserve"> take</w:t>
      </w:r>
      <w:r w:rsidR="003F2EE0">
        <w:rPr>
          <w:rFonts w:ascii="Century Gothic" w:hAnsi="Century Gothic"/>
          <w:sz w:val="22"/>
          <w:szCs w:val="22"/>
        </w:rPr>
        <w:t>s</w:t>
      </w:r>
      <w:r w:rsidR="00212955">
        <w:rPr>
          <w:rFonts w:ascii="Century Gothic" w:hAnsi="Century Gothic"/>
          <w:sz w:val="22"/>
          <w:szCs w:val="22"/>
        </w:rPr>
        <w:t xml:space="preserve"> legal action with the competent judicial authorities</w:t>
      </w:r>
      <w:r w:rsidR="003F2EE0">
        <w:rPr>
          <w:rFonts w:ascii="Century Gothic" w:hAnsi="Century Gothic"/>
          <w:sz w:val="22"/>
          <w:szCs w:val="22"/>
        </w:rPr>
        <w:t>.</w:t>
      </w:r>
      <w:r w:rsidR="00212955">
        <w:rPr>
          <w:rFonts w:ascii="Century Gothic" w:hAnsi="Century Gothic"/>
          <w:sz w:val="22"/>
          <w:szCs w:val="22"/>
        </w:rPr>
        <w:t xml:space="preserve"> The Organization staff shall, in enforcing the court orders as to the said offences, be vested with all those powers and responsibilities which have been expressly stated or stipulated </w:t>
      </w:r>
      <w:r w:rsidR="003D1B25">
        <w:rPr>
          <w:rFonts w:ascii="Century Gothic" w:hAnsi="Century Gothic"/>
          <w:sz w:val="22"/>
          <w:szCs w:val="22"/>
        </w:rPr>
        <w:t xml:space="preserve">for the officers of justice in the </w:t>
      </w:r>
      <w:r w:rsidR="00390B75">
        <w:rPr>
          <w:rFonts w:ascii="Century Gothic" w:hAnsi="Century Gothic"/>
          <w:sz w:val="22"/>
          <w:szCs w:val="22"/>
        </w:rPr>
        <w:t>L</w:t>
      </w:r>
      <w:r w:rsidR="003D1B25">
        <w:rPr>
          <w:rFonts w:ascii="Century Gothic" w:hAnsi="Century Gothic"/>
          <w:sz w:val="22"/>
          <w:szCs w:val="22"/>
        </w:rPr>
        <w:t xml:space="preserve">aw of </w:t>
      </w:r>
      <w:r w:rsidR="00390B75">
        <w:rPr>
          <w:rFonts w:ascii="Century Gothic" w:hAnsi="Century Gothic"/>
          <w:sz w:val="22"/>
          <w:szCs w:val="22"/>
        </w:rPr>
        <w:t>C</w:t>
      </w:r>
      <w:r w:rsidR="003D1B25">
        <w:rPr>
          <w:rFonts w:ascii="Century Gothic" w:hAnsi="Century Gothic"/>
          <w:sz w:val="22"/>
          <w:szCs w:val="22"/>
        </w:rPr>
        <w:t xml:space="preserve">riminal </w:t>
      </w:r>
      <w:r w:rsidR="00390B75">
        <w:rPr>
          <w:rFonts w:ascii="Century Gothic" w:hAnsi="Century Gothic"/>
          <w:sz w:val="22"/>
          <w:szCs w:val="22"/>
        </w:rPr>
        <w:t>P</w:t>
      </w:r>
      <w:r w:rsidR="003D1B25">
        <w:rPr>
          <w:rFonts w:ascii="Century Gothic" w:hAnsi="Century Gothic"/>
          <w:sz w:val="22"/>
          <w:szCs w:val="22"/>
        </w:rPr>
        <w:t xml:space="preserve">rocedures. The staff concerned shall be appointed by the </w:t>
      </w:r>
      <w:r w:rsidR="003F2EE0">
        <w:rPr>
          <w:rFonts w:ascii="Century Gothic" w:hAnsi="Century Gothic"/>
          <w:sz w:val="22"/>
          <w:szCs w:val="22"/>
        </w:rPr>
        <w:t xml:space="preserve">ordinance </w:t>
      </w:r>
      <w:r w:rsidR="003D1B25">
        <w:rPr>
          <w:rFonts w:ascii="Century Gothic" w:hAnsi="Century Gothic"/>
          <w:sz w:val="22"/>
          <w:szCs w:val="22"/>
        </w:rPr>
        <w:t>of the prosecutor</w:t>
      </w:r>
      <w:r w:rsidR="00660BE4">
        <w:rPr>
          <w:rFonts w:ascii="Century Gothic" w:hAnsi="Century Gothic"/>
          <w:sz w:val="22"/>
          <w:szCs w:val="22"/>
        </w:rPr>
        <w:t xml:space="preserve"> general</w:t>
      </w:r>
      <w:r w:rsidR="003D1B25">
        <w:rPr>
          <w:rFonts w:ascii="Century Gothic" w:hAnsi="Century Gothic"/>
          <w:sz w:val="22"/>
          <w:szCs w:val="22"/>
        </w:rPr>
        <w:t xml:space="preserve"> </w:t>
      </w:r>
      <w:r w:rsidR="003F2EE0">
        <w:rPr>
          <w:rFonts w:ascii="Century Gothic" w:hAnsi="Century Gothic"/>
          <w:sz w:val="22"/>
          <w:szCs w:val="22"/>
        </w:rPr>
        <w:t xml:space="preserve">and on </w:t>
      </w:r>
      <w:r w:rsidR="00390B75">
        <w:rPr>
          <w:rFonts w:ascii="Century Gothic" w:hAnsi="Century Gothic"/>
          <w:sz w:val="22"/>
          <w:szCs w:val="22"/>
        </w:rPr>
        <w:t xml:space="preserve">the </w:t>
      </w:r>
      <w:r w:rsidR="003F2EE0">
        <w:rPr>
          <w:rFonts w:ascii="Century Gothic" w:hAnsi="Century Gothic"/>
          <w:sz w:val="22"/>
          <w:szCs w:val="22"/>
        </w:rPr>
        <w:t xml:space="preserve">recommendation </w:t>
      </w:r>
      <w:r w:rsidR="003D1B25">
        <w:rPr>
          <w:rFonts w:ascii="Century Gothic" w:hAnsi="Century Gothic"/>
          <w:sz w:val="22"/>
          <w:szCs w:val="22"/>
        </w:rPr>
        <w:t xml:space="preserve">of the Organization president. </w:t>
      </w:r>
    </w:p>
    <w:p w:rsidR="000E2325" w:rsidRDefault="000E2325" w:rsidP="003D1B25">
      <w:pPr>
        <w:spacing w:line="360" w:lineRule="auto"/>
        <w:ind w:left="1080" w:hanging="1080"/>
        <w:jc w:val="both"/>
        <w:rPr>
          <w:rFonts w:ascii="Century Gothic" w:hAnsi="Century Gothic"/>
          <w:b/>
          <w:bCs/>
          <w:sz w:val="22"/>
          <w:szCs w:val="22"/>
        </w:rPr>
      </w:pPr>
    </w:p>
    <w:p w:rsidR="00DE258B" w:rsidRDefault="00DE258B" w:rsidP="003D1B25">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3D1B25">
        <w:rPr>
          <w:rFonts w:ascii="Century Gothic" w:hAnsi="Century Gothic"/>
          <w:b/>
          <w:bCs/>
          <w:sz w:val="22"/>
          <w:szCs w:val="22"/>
        </w:rPr>
        <w:t>15</w:t>
      </w:r>
      <w:r>
        <w:rPr>
          <w:rFonts w:ascii="Century Gothic" w:hAnsi="Century Gothic"/>
          <w:b/>
          <w:bCs/>
          <w:sz w:val="22"/>
          <w:szCs w:val="22"/>
        </w:rPr>
        <w:t xml:space="preserve">: </w:t>
      </w:r>
    </w:p>
    <w:p w:rsidR="00DE258B" w:rsidRDefault="00CC39B7" w:rsidP="00641F88">
      <w:pPr>
        <w:spacing w:line="360" w:lineRule="auto"/>
        <w:jc w:val="both"/>
        <w:rPr>
          <w:rFonts w:ascii="Century Gothic" w:hAnsi="Century Gothic"/>
          <w:sz w:val="22"/>
          <w:szCs w:val="22"/>
        </w:rPr>
      </w:pPr>
      <w:r>
        <w:rPr>
          <w:rFonts w:ascii="Century Gothic" w:hAnsi="Century Gothic"/>
          <w:sz w:val="22"/>
          <w:szCs w:val="22"/>
        </w:rPr>
        <w:t xml:space="preserve">If the securities listed on </w:t>
      </w:r>
      <w:r w:rsidR="00482178">
        <w:rPr>
          <w:rFonts w:ascii="Century Gothic" w:hAnsi="Century Gothic"/>
          <w:sz w:val="22"/>
          <w:szCs w:val="22"/>
        </w:rPr>
        <w:t xml:space="preserve">the </w:t>
      </w:r>
      <w:r>
        <w:rPr>
          <w:rFonts w:ascii="Century Gothic" w:hAnsi="Century Gothic"/>
          <w:sz w:val="22"/>
          <w:szCs w:val="22"/>
        </w:rPr>
        <w:t xml:space="preserve">stock exchange or on </w:t>
      </w:r>
      <w:r w:rsidR="00482178">
        <w:rPr>
          <w:rFonts w:ascii="Century Gothic" w:hAnsi="Century Gothic"/>
          <w:sz w:val="22"/>
          <w:szCs w:val="22"/>
        </w:rPr>
        <w:t xml:space="preserve">the OTC </w:t>
      </w:r>
      <w:r>
        <w:rPr>
          <w:rFonts w:ascii="Century Gothic" w:hAnsi="Century Gothic"/>
          <w:sz w:val="22"/>
          <w:szCs w:val="22"/>
        </w:rPr>
        <w:t xml:space="preserve">markets and/or the commodity-based securities which are listed on the commodity exchange carry </w:t>
      </w:r>
      <w:r w:rsidR="00A0475D">
        <w:rPr>
          <w:rFonts w:ascii="Century Gothic" w:hAnsi="Century Gothic"/>
          <w:sz w:val="22"/>
          <w:szCs w:val="22"/>
        </w:rPr>
        <w:t xml:space="preserve">the profit </w:t>
      </w:r>
      <w:r>
        <w:rPr>
          <w:rFonts w:ascii="Century Gothic" w:hAnsi="Century Gothic"/>
          <w:sz w:val="22"/>
          <w:szCs w:val="22"/>
        </w:rPr>
        <w:t>approved, matured or guaranteed</w:t>
      </w:r>
      <w:r w:rsidR="00A0475D">
        <w:rPr>
          <w:rFonts w:ascii="Century Gothic" w:hAnsi="Century Gothic"/>
          <w:sz w:val="22"/>
          <w:szCs w:val="22"/>
        </w:rPr>
        <w:t>,</w:t>
      </w:r>
      <w:r>
        <w:rPr>
          <w:rFonts w:ascii="Century Gothic" w:hAnsi="Century Gothic"/>
          <w:sz w:val="22"/>
          <w:szCs w:val="22"/>
        </w:rPr>
        <w:t xml:space="preserve"> it shall be distributed and paid in a timely manner within the framework of prevailing rules</w:t>
      </w:r>
      <w:r w:rsidR="00482178">
        <w:rPr>
          <w:rFonts w:ascii="Century Gothic" w:hAnsi="Century Gothic"/>
          <w:sz w:val="22"/>
          <w:szCs w:val="22"/>
        </w:rPr>
        <w:t>. W</w:t>
      </w:r>
      <w:r>
        <w:rPr>
          <w:rFonts w:ascii="Century Gothic" w:hAnsi="Century Gothic"/>
          <w:sz w:val="22"/>
          <w:szCs w:val="22"/>
        </w:rPr>
        <w:t xml:space="preserve">here the issuers fail to do so and the securities holders or the Organization lodge a complaint, the matter shall be brought up with the Arbitration Board envisaged in the Securities Market </w:t>
      </w:r>
      <w:r w:rsidR="00641F88">
        <w:rPr>
          <w:rFonts w:ascii="Century Gothic" w:hAnsi="Century Gothic"/>
          <w:sz w:val="22"/>
          <w:szCs w:val="22"/>
        </w:rPr>
        <w:t>Act</w:t>
      </w:r>
      <w:r>
        <w:rPr>
          <w:rFonts w:ascii="Century Gothic" w:hAnsi="Century Gothic"/>
          <w:sz w:val="22"/>
          <w:szCs w:val="22"/>
        </w:rPr>
        <w:t xml:space="preserve"> of</w:t>
      </w:r>
      <w:r w:rsidR="00641F88">
        <w:rPr>
          <w:rFonts w:ascii="Century Gothic" w:hAnsi="Century Gothic"/>
          <w:sz w:val="22"/>
          <w:szCs w:val="22"/>
        </w:rPr>
        <w:t xml:space="preserve"> the</w:t>
      </w:r>
      <w:r>
        <w:rPr>
          <w:rFonts w:ascii="Century Gothic" w:hAnsi="Century Gothic"/>
          <w:sz w:val="22"/>
          <w:szCs w:val="22"/>
        </w:rPr>
        <w:t xml:space="preserve"> I.R.I. and the awards passed in this respect shall be enforceable through the Cou</w:t>
      </w:r>
      <w:r w:rsidR="003D106A">
        <w:rPr>
          <w:rFonts w:ascii="Century Gothic" w:hAnsi="Century Gothic"/>
          <w:sz w:val="22"/>
          <w:szCs w:val="22"/>
        </w:rPr>
        <w:t>r</w:t>
      </w:r>
      <w:r>
        <w:rPr>
          <w:rFonts w:ascii="Century Gothic" w:hAnsi="Century Gothic"/>
          <w:sz w:val="22"/>
          <w:szCs w:val="22"/>
        </w:rPr>
        <w:t xml:space="preserve">ts' Judgment Enforcement Division. </w:t>
      </w:r>
    </w:p>
    <w:p w:rsidR="00CC39B7" w:rsidRDefault="00CC39B7" w:rsidP="00DE258B">
      <w:pPr>
        <w:spacing w:line="360" w:lineRule="auto"/>
        <w:ind w:left="1080" w:hanging="1080"/>
        <w:jc w:val="both"/>
        <w:rPr>
          <w:rFonts w:ascii="Century Gothic" w:hAnsi="Century Gothic"/>
          <w:b/>
          <w:bCs/>
          <w:sz w:val="22"/>
          <w:szCs w:val="22"/>
        </w:rPr>
      </w:pPr>
    </w:p>
    <w:p w:rsidR="00660BE4" w:rsidRDefault="00660BE4" w:rsidP="00CC39B7">
      <w:pPr>
        <w:spacing w:line="360" w:lineRule="auto"/>
        <w:ind w:left="1080" w:hanging="1080"/>
        <w:jc w:val="both"/>
        <w:rPr>
          <w:rFonts w:ascii="Century Gothic" w:hAnsi="Century Gothic"/>
          <w:b/>
          <w:bCs/>
          <w:sz w:val="22"/>
          <w:szCs w:val="22"/>
        </w:rPr>
      </w:pPr>
    </w:p>
    <w:p w:rsidR="00DE258B" w:rsidRDefault="00DE258B" w:rsidP="00CC39B7">
      <w:pPr>
        <w:spacing w:line="360" w:lineRule="auto"/>
        <w:ind w:left="1080" w:hanging="1080"/>
        <w:jc w:val="both"/>
        <w:rPr>
          <w:rFonts w:ascii="Century Gothic" w:hAnsi="Century Gothic"/>
          <w:b/>
          <w:bCs/>
          <w:sz w:val="22"/>
          <w:szCs w:val="22"/>
        </w:rPr>
      </w:pPr>
      <w:r>
        <w:rPr>
          <w:rFonts w:ascii="Century Gothic" w:hAnsi="Century Gothic"/>
          <w:b/>
          <w:bCs/>
          <w:sz w:val="22"/>
          <w:szCs w:val="22"/>
        </w:rPr>
        <w:lastRenderedPageBreak/>
        <w:t xml:space="preserve">Article </w:t>
      </w:r>
      <w:r w:rsidR="00CC39B7">
        <w:rPr>
          <w:rFonts w:ascii="Century Gothic" w:hAnsi="Century Gothic"/>
          <w:b/>
          <w:bCs/>
          <w:sz w:val="22"/>
          <w:szCs w:val="22"/>
        </w:rPr>
        <w:t>16</w:t>
      </w:r>
      <w:r>
        <w:rPr>
          <w:rFonts w:ascii="Century Gothic" w:hAnsi="Century Gothic"/>
          <w:b/>
          <w:bCs/>
          <w:sz w:val="22"/>
          <w:szCs w:val="22"/>
        </w:rPr>
        <w:t xml:space="preserve">: </w:t>
      </w:r>
    </w:p>
    <w:p w:rsidR="00DE258B" w:rsidRDefault="004077E9" w:rsidP="00641F88">
      <w:pPr>
        <w:spacing w:line="360" w:lineRule="auto"/>
        <w:jc w:val="both"/>
        <w:rPr>
          <w:rFonts w:ascii="Century Gothic" w:hAnsi="Century Gothic"/>
          <w:sz w:val="22"/>
          <w:szCs w:val="22"/>
        </w:rPr>
      </w:pPr>
      <w:r>
        <w:rPr>
          <w:rFonts w:ascii="Century Gothic" w:hAnsi="Century Gothic"/>
          <w:sz w:val="22"/>
          <w:szCs w:val="22"/>
        </w:rPr>
        <w:t xml:space="preserve">Upon the request made by the Organization, all </w:t>
      </w:r>
      <w:r w:rsidR="00A030DF">
        <w:rPr>
          <w:rFonts w:ascii="Century Gothic" w:hAnsi="Century Gothic"/>
          <w:sz w:val="22"/>
          <w:szCs w:val="22"/>
        </w:rPr>
        <w:t>regulated</w:t>
      </w:r>
      <w:r>
        <w:rPr>
          <w:rFonts w:ascii="Century Gothic" w:hAnsi="Century Gothic"/>
          <w:sz w:val="22"/>
          <w:szCs w:val="22"/>
        </w:rPr>
        <w:t xml:space="preserve"> entities such as issuers, financial institutions and self-regulat</w:t>
      </w:r>
      <w:r w:rsidR="00660BE4">
        <w:rPr>
          <w:rFonts w:ascii="Century Gothic" w:hAnsi="Century Gothic"/>
          <w:sz w:val="22"/>
          <w:szCs w:val="22"/>
        </w:rPr>
        <w:t>ory</w:t>
      </w:r>
      <w:r>
        <w:rPr>
          <w:rFonts w:ascii="Century Gothic" w:hAnsi="Century Gothic"/>
          <w:sz w:val="22"/>
          <w:szCs w:val="22"/>
        </w:rPr>
        <w:t xml:space="preserve"> </w:t>
      </w:r>
      <w:r w:rsidR="00482178">
        <w:rPr>
          <w:rFonts w:ascii="Century Gothic" w:hAnsi="Century Gothic"/>
          <w:sz w:val="22"/>
          <w:szCs w:val="22"/>
        </w:rPr>
        <w:t>o</w:t>
      </w:r>
      <w:r>
        <w:rPr>
          <w:rFonts w:ascii="Century Gothic" w:hAnsi="Century Gothic"/>
          <w:sz w:val="22"/>
          <w:szCs w:val="22"/>
        </w:rPr>
        <w:t>rganizations shall have to submit records, documents, information and reports requisite for the exercise of the functions</w:t>
      </w:r>
      <w:r w:rsidR="00EC22CE">
        <w:rPr>
          <w:rFonts w:ascii="Century Gothic" w:hAnsi="Century Gothic"/>
          <w:sz w:val="22"/>
          <w:szCs w:val="22"/>
        </w:rPr>
        <w:t xml:space="preserve"> and responsibilities legally </w:t>
      </w:r>
      <w:r>
        <w:rPr>
          <w:rFonts w:ascii="Century Gothic" w:hAnsi="Century Gothic"/>
          <w:sz w:val="22"/>
          <w:szCs w:val="22"/>
        </w:rPr>
        <w:t>vested in the Organization. The</w:t>
      </w:r>
      <w:r w:rsidRPr="004077E9">
        <w:rPr>
          <w:rFonts w:ascii="Century Gothic" w:hAnsi="Century Gothic"/>
          <w:sz w:val="22"/>
          <w:szCs w:val="22"/>
        </w:rPr>
        <w:t xml:space="preserve"> </w:t>
      </w:r>
      <w:r>
        <w:rPr>
          <w:rFonts w:ascii="Century Gothic" w:hAnsi="Century Gothic"/>
          <w:sz w:val="22"/>
          <w:szCs w:val="22"/>
        </w:rPr>
        <w:t xml:space="preserve">Organization shall have the power to </w:t>
      </w:r>
      <w:r w:rsidR="00A30A3E">
        <w:rPr>
          <w:rFonts w:ascii="Century Gothic" w:hAnsi="Century Gothic"/>
          <w:sz w:val="22"/>
          <w:szCs w:val="22"/>
        </w:rPr>
        <w:t xml:space="preserve">deliver </w:t>
      </w:r>
      <w:r>
        <w:rPr>
          <w:rFonts w:ascii="Century Gothic" w:hAnsi="Century Gothic"/>
          <w:sz w:val="22"/>
          <w:szCs w:val="22"/>
        </w:rPr>
        <w:t>such information, records, documents and reports to the competent domestic and/or international authorities and institutions within the context of their legal jurisdictions with the approval of the prosecutor general</w:t>
      </w:r>
      <w:r w:rsidR="00482178">
        <w:rPr>
          <w:rFonts w:ascii="Century Gothic" w:hAnsi="Century Gothic"/>
          <w:sz w:val="22"/>
          <w:szCs w:val="22"/>
        </w:rPr>
        <w:t>.</w:t>
      </w:r>
      <w:r>
        <w:rPr>
          <w:rFonts w:ascii="Century Gothic" w:hAnsi="Century Gothic"/>
          <w:sz w:val="22"/>
          <w:szCs w:val="22"/>
        </w:rPr>
        <w:t xml:space="preserve"> </w:t>
      </w:r>
      <w:r w:rsidR="00482178">
        <w:rPr>
          <w:rFonts w:ascii="Century Gothic" w:hAnsi="Century Gothic"/>
          <w:sz w:val="22"/>
          <w:szCs w:val="22"/>
        </w:rPr>
        <w:t>T</w:t>
      </w:r>
      <w:r>
        <w:rPr>
          <w:rFonts w:ascii="Century Gothic" w:hAnsi="Century Gothic"/>
          <w:sz w:val="22"/>
          <w:szCs w:val="22"/>
        </w:rPr>
        <w:t xml:space="preserve">he directors of the </w:t>
      </w:r>
      <w:r w:rsidR="00A030DF">
        <w:rPr>
          <w:rFonts w:ascii="Century Gothic" w:hAnsi="Century Gothic"/>
          <w:sz w:val="22"/>
          <w:szCs w:val="22"/>
        </w:rPr>
        <w:t>regulated</w:t>
      </w:r>
      <w:r>
        <w:rPr>
          <w:rFonts w:ascii="Century Gothic" w:hAnsi="Century Gothic"/>
          <w:sz w:val="22"/>
          <w:szCs w:val="22"/>
        </w:rPr>
        <w:t xml:space="preserve"> legal entities, in case they fail to </w:t>
      </w:r>
      <w:r w:rsidR="00482178">
        <w:rPr>
          <w:rFonts w:ascii="Century Gothic" w:hAnsi="Century Gothic"/>
          <w:sz w:val="22"/>
          <w:szCs w:val="22"/>
        </w:rPr>
        <w:t xml:space="preserve">comply </w:t>
      </w:r>
      <w:r>
        <w:rPr>
          <w:rFonts w:ascii="Century Gothic" w:hAnsi="Century Gothic"/>
          <w:sz w:val="22"/>
          <w:szCs w:val="22"/>
        </w:rPr>
        <w:t xml:space="preserve">with the said issues, shall </w:t>
      </w:r>
      <w:r w:rsidR="00482178">
        <w:rPr>
          <w:rFonts w:ascii="Century Gothic" w:hAnsi="Century Gothic"/>
          <w:sz w:val="22"/>
          <w:szCs w:val="22"/>
        </w:rPr>
        <w:t xml:space="preserve">be sentenced to </w:t>
      </w:r>
      <w:r>
        <w:rPr>
          <w:rFonts w:ascii="Century Gothic" w:hAnsi="Century Gothic"/>
          <w:sz w:val="22"/>
          <w:szCs w:val="22"/>
        </w:rPr>
        <w:t xml:space="preserve">the penalties referred </w:t>
      </w:r>
      <w:r w:rsidR="00DD7D8F">
        <w:rPr>
          <w:rFonts w:ascii="Century Gothic" w:hAnsi="Century Gothic"/>
          <w:sz w:val="22"/>
          <w:szCs w:val="22"/>
        </w:rPr>
        <w:t xml:space="preserve">to </w:t>
      </w:r>
      <w:r>
        <w:rPr>
          <w:rFonts w:ascii="Century Gothic" w:hAnsi="Century Gothic"/>
          <w:sz w:val="22"/>
          <w:szCs w:val="22"/>
        </w:rPr>
        <w:t xml:space="preserve">in article </w:t>
      </w:r>
      <w:r w:rsidR="00641F88">
        <w:rPr>
          <w:rFonts w:ascii="Century Gothic" w:hAnsi="Century Gothic"/>
          <w:sz w:val="22"/>
          <w:szCs w:val="22"/>
        </w:rPr>
        <w:t>(49) of the Securities Market Act</w:t>
      </w:r>
      <w:r w:rsidR="00D543B3">
        <w:rPr>
          <w:rFonts w:ascii="Century Gothic" w:hAnsi="Century Gothic"/>
          <w:sz w:val="22"/>
          <w:szCs w:val="22"/>
        </w:rPr>
        <w:t xml:space="preserve"> of</w:t>
      </w:r>
      <w:r w:rsidR="00641F88">
        <w:rPr>
          <w:rFonts w:ascii="Century Gothic" w:hAnsi="Century Gothic"/>
          <w:sz w:val="22"/>
          <w:szCs w:val="22"/>
        </w:rPr>
        <w:t xml:space="preserve"> the</w:t>
      </w:r>
      <w:r w:rsidR="00D543B3">
        <w:rPr>
          <w:rFonts w:ascii="Century Gothic" w:hAnsi="Century Gothic"/>
          <w:sz w:val="22"/>
          <w:szCs w:val="22"/>
        </w:rPr>
        <w:t xml:space="preserve"> I.R.I.</w:t>
      </w:r>
      <w:r>
        <w:rPr>
          <w:rFonts w:ascii="Century Gothic" w:hAnsi="Century Gothic"/>
          <w:sz w:val="22"/>
          <w:szCs w:val="22"/>
        </w:rPr>
        <w:t xml:space="preserve"> </w:t>
      </w:r>
    </w:p>
    <w:p w:rsidR="00142751" w:rsidRDefault="00142751" w:rsidP="00822348">
      <w:pPr>
        <w:spacing w:line="360" w:lineRule="auto"/>
        <w:ind w:left="720"/>
        <w:jc w:val="both"/>
        <w:rPr>
          <w:rFonts w:ascii="Century Gothic" w:hAnsi="Century Gothic"/>
          <w:b/>
          <w:bCs/>
          <w:sz w:val="22"/>
          <w:szCs w:val="22"/>
        </w:rPr>
      </w:pPr>
    </w:p>
    <w:p w:rsidR="00822348" w:rsidRPr="00DC778E" w:rsidRDefault="00822348" w:rsidP="00822348">
      <w:pPr>
        <w:spacing w:line="360" w:lineRule="auto"/>
        <w:ind w:left="720"/>
        <w:jc w:val="both"/>
        <w:rPr>
          <w:rFonts w:ascii="Century Gothic" w:hAnsi="Century Gothic"/>
          <w:sz w:val="22"/>
          <w:szCs w:val="22"/>
        </w:rPr>
      </w:pPr>
      <w:r>
        <w:rPr>
          <w:rFonts w:ascii="Century Gothic" w:hAnsi="Century Gothic"/>
          <w:b/>
          <w:bCs/>
          <w:sz w:val="22"/>
          <w:szCs w:val="22"/>
        </w:rPr>
        <w:t>Note 1</w:t>
      </w:r>
      <w:r w:rsidRPr="00CC48E4">
        <w:rPr>
          <w:rFonts w:ascii="Century Gothic" w:hAnsi="Century Gothic"/>
          <w:b/>
          <w:bCs/>
          <w:sz w:val="22"/>
          <w:szCs w:val="22"/>
        </w:rPr>
        <w:t>:</w:t>
      </w:r>
      <w:r>
        <w:rPr>
          <w:rFonts w:ascii="Century Gothic" w:hAnsi="Century Gothic"/>
          <w:sz w:val="22"/>
          <w:szCs w:val="22"/>
        </w:rPr>
        <w:t xml:space="preserve"> Where the provider of information, records and documents declare</w:t>
      </w:r>
      <w:r w:rsidR="00660BE4">
        <w:rPr>
          <w:rFonts w:ascii="Century Gothic" w:hAnsi="Century Gothic"/>
          <w:sz w:val="22"/>
          <w:szCs w:val="22"/>
        </w:rPr>
        <w:t>s</w:t>
      </w:r>
      <w:r>
        <w:rPr>
          <w:rFonts w:ascii="Century Gothic" w:hAnsi="Century Gothic"/>
          <w:sz w:val="22"/>
          <w:szCs w:val="22"/>
        </w:rPr>
        <w:t xml:space="preserve"> that the issues presented are </w:t>
      </w:r>
      <w:r w:rsidR="00482178">
        <w:rPr>
          <w:rFonts w:ascii="Century Gothic" w:hAnsi="Century Gothic"/>
          <w:sz w:val="22"/>
          <w:szCs w:val="22"/>
        </w:rPr>
        <w:t>regarded as a part</w:t>
      </w:r>
      <w:r>
        <w:rPr>
          <w:rFonts w:ascii="Century Gothic" w:hAnsi="Century Gothic"/>
          <w:sz w:val="22"/>
          <w:szCs w:val="22"/>
        </w:rPr>
        <w:t xml:space="preserve"> of his trade secrets and can not be published, the matter shall be considered at the board meeting </w:t>
      </w:r>
      <w:r w:rsidR="00660BE4">
        <w:rPr>
          <w:rFonts w:ascii="Century Gothic" w:hAnsi="Century Gothic"/>
          <w:sz w:val="22"/>
          <w:szCs w:val="22"/>
        </w:rPr>
        <w:t xml:space="preserve">of the Organization </w:t>
      </w:r>
      <w:r>
        <w:rPr>
          <w:rFonts w:ascii="Century Gothic" w:hAnsi="Century Gothic"/>
          <w:sz w:val="22"/>
          <w:szCs w:val="22"/>
        </w:rPr>
        <w:t xml:space="preserve">for decision-making. The decision taken by the Organization board of directors in this respect shall be binding and serve as a basis for further action.  </w:t>
      </w:r>
    </w:p>
    <w:p w:rsidR="00DD7D8F" w:rsidRDefault="00DD7D8F" w:rsidP="00822348">
      <w:pPr>
        <w:spacing w:line="360" w:lineRule="auto"/>
        <w:ind w:left="720"/>
        <w:jc w:val="both"/>
        <w:rPr>
          <w:rFonts w:ascii="Century Gothic" w:hAnsi="Century Gothic"/>
          <w:b/>
          <w:bCs/>
          <w:sz w:val="22"/>
          <w:szCs w:val="22"/>
        </w:rPr>
      </w:pPr>
    </w:p>
    <w:p w:rsidR="00822348" w:rsidRDefault="00822348" w:rsidP="00822348">
      <w:pPr>
        <w:spacing w:line="360" w:lineRule="auto"/>
        <w:ind w:left="720"/>
        <w:jc w:val="both"/>
        <w:rPr>
          <w:rFonts w:ascii="Century Gothic" w:hAnsi="Century Gothic"/>
          <w:sz w:val="22"/>
          <w:szCs w:val="22"/>
        </w:rPr>
      </w:pPr>
      <w:r>
        <w:rPr>
          <w:rFonts w:ascii="Century Gothic" w:hAnsi="Century Gothic"/>
          <w:b/>
          <w:bCs/>
          <w:sz w:val="22"/>
          <w:szCs w:val="22"/>
        </w:rPr>
        <w:t>Note 2</w:t>
      </w:r>
      <w:r w:rsidRPr="00CC48E4">
        <w:rPr>
          <w:rFonts w:ascii="Century Gothic" w:hAnsi="Century Gothic"/>
          <w:b/>
          <w:bCs/>
          <w:sz w:val="22"/>
          <w:szCs w:val="22"/>
        </w:rPr>
        <w:t>:</w:t>
      </w:r>
      <w:r>
        <w:rPr>
          <w:rFonts w:ascii="Century Gothic" w:hAnsi="Century Gothic"/>
          <w:sz w:val="22"/>
          <w:szCs w:val="22"/>
        </w:rPr>
        <w:t xml:space="preserve"> The trade secrets are treated to be confidential and in case of their disclosure, the Organization shall be held liable to compensate for the loss and damage sustained by the provider of such documents, records and information providing that the disclosure of trade secrets has taken place by the Organization and in the circumstances not legally allowed</w:t>
      </w:r>
      <w:r w:rsidR="00482178">
        <w:rPr>
          <w:rFonts w:ascii="Century Gothic" w:hAnsi="Century Gothic"/>
          <w:sz w:val="22"/>
          <w:szCs w:val="22"/>
        </w:rPr>
        <w:t xml:space="preserve"> to do so</w:t>
      </w:r>
      <w:r>
        <w:rPr>
          <w:rFonts w:ascii="Century Gothic" w:hAnsi="Century Gothic"/>
          <w:sz w:val="22"/>
          <w:szCs w:val="22"/>
        </w:rPr>
        <w:t xml:space="preserve">.  </w:t>
      </w:r>
    </w:p>
    <w:p w:rsidR="00DD7D8F" w:rsidRDefault="00DD7D8F" w:rsidP="00D266C8">
      <w:pPr>
        <w:spacing w:line="360" w:lineRule="auto"/>
        <w:ind w:left="720"/>
        <w:jc w:val="both"/>
        <w:rPr>
          <w:rFonts w:ascii="Century Gothic" w:hAnsi="Century Gothic"/>
          <w:b/>
          <w:bCs/>
          <w:sz w:val="22"/>
          <w:szCs w:val="22"/>
        </w:rPr>
      </w:pPr>
    </w:p>
    <w:p w:rsidR="00D266C8" w:rsidRDefault="00D266C8" w:rsidP="00F63902">
      <w:pPr>
        <w:spacing w:line="360" w:lineRule="auto"/>
        <w:ind w:left="720"/>
        <w:jc w:val="both"/>
        <w:rPr>
          <w:rFonts w:ascii="Century Gothic" w:hAnsi="Century Gothic"/>
          <w:sz w:val="22"/>
          <w:szCs w:val="22"/>
        </w:rPr>
      </w:pPr>
      <w:r>
        <w:rPr>
          <w:rFonts w:ascii="Century Gothic" w:hAnsi="Century Gothic"/>
          <w:b/>
          <w:bCs/>
          <w:sz w:val="22"/>
          <w:szCs w:val="22"/>
        </w:rPr>
        <w:t>Note 3</w:t>
      </w:r>
      <w:r w:rsidRPr="00CC48E4">
        <w:rPr>
          <w:rFonts w:ascii="Century Gothic" w:hAnsi="Century Gothic"/>
          <w:b/>
          <w:bCs/>
          <w:sz w:val="22"/>
          <w:szCs w:val="22"/>
        </w:rPr>
        <w:t>:</w:t>
      </w:r>
      <w:r>
        <w:rPr>
          <w:rFonts w:ascii="Century Gothic" w:hAnsi="Century Gothic"/>
          <w:sz w:val="22"/>
          <w:szCs w:val="22"/>
        </w:rPr>
        <w:t xml:space="preserve"> The government, state</w:t>
      </w:r>
      <w:r w:rsidR="00F63902">
        <w:rPr>
          <w:rFonts w:ascii="Century Gothic" w:hAnsi="Century Gothic"/>
          <w:sz w:val="22"/>
          <w:szCs w:val="22"/>
        </w:rPr>
        <w:t>-owned</w:t>
      </w:r>
      <w:r>
        <w:rPr>
          <w:rFonts w:ascii="Century Gothic" w:hAnsi="Century Gothic"/>
          <w:sz w:val="22"/>
          <w:szCs w:val="22"/>
        </w:rPr>
        <w:t xml:space="preserve"> </w:t>
      </w:r>
      <w:r w:rsidR="00F63902">
        <w:rPr>
          <w:rFonts w:ascii="Century Gothic" w:hAnsi="Century Gothic"/>
          <w:sz w:val="22"/>
          <w:szCs w:val="22"/>
        </w:rPr>
        <w:t>companies</w:t>
      </w:r>
      <w:r>
        <w:rPr>
          <w:rFonts w:ascii="Century Gothic" w:hAnsi="Century Gothic"/>
          <w:sz w:val="22"/>
          <w:szCs w:val="22"/>
        </w:rPr>
        <w:t xml:space="preserve"> and municipalities shall be excluded from the </w:t>
      </w:r>
      <w:r w:rsidR="00A0475D">
        <w:rPr>
          <w:rFonts w:ascii="Century Gothic" w:hAnsi="Century Gothic"/>
          <w:sz w:val="22"/>
          <w:szCs w:val="22"/>
        </w:rPr>
        <w:t xml:space="preserve">application of the </w:t>
      </w:r>
      <w:r>
        <w:rPr>
          <w:rFonts w:ascii="Century Gothic" w:hAnsi="Century Gothic"/>
          <w:sz w:val="22"/>
          <w:szCs w:val="22"/>
        </w:rPr>
        <w:t>duties assigned to the issuers of securities under articles (13)</w:t>
      </w:r>
      <w:r w:rsidR="00641F88">
        <w:rPr>
          <w:rFonts w:ascii="Century Gothic" w:hAnsi="Century Gothic"/>
          <w:sz w:val="22"/>
          <w:szCs w:val="22"/>
        </w:rPr>
        <w:t>, (</w:t>
      </w:r>
      <w:r>
        <w:rPr>
          <w:rFonts w:ascii="Century Gothic" w:hAnsi="Century Gothic"/>
          <w:sz w:val="22"/>
          <w:szCs w:val="22"/>
        </w:rPr>
        <w:t>14)</w:t>
      </w:r>
      <w:r w:rsidR="00641F88">
        <w:rPr>
          <w:rFonts w:ascii="Century Gothic" w:hAnsi="Century Gothic"/>
          <w:sz w:val="22"/>
          <w:szCs w:val="22"/>
        </w:rPr>
        <w:t>, (</w:t>
      </w:r>
      <w:r>
        <w:rPr>
          <w:rFonts w:ascii="Century Gothic" w:hAnsi="Century Gothic"/>
          <w:sz w:val="22"/>
          <w:szCs w:val="22"/>
        </w:rPr>
        <w:t xml:space="preserve">15) and (16) of this law. </w:t>
      </w:r>
    </w:p>
    <w:p w:rsidR="0052434C" w:rsidRDefault="0052434C" w:rsidP="0052434C">
      <w:pPr>
        <w:spacing w:line="360" w:lineRule="auto"/>
        <w:jc w:val="both"/>
        <w:rPr>
          <w:rFonts w:ascii="Century Gothic" w:hAnsi="Century Gothic"/>
          <w:b/>
          <w:bCs/>
          <w:sz w:val="22"/>
          <w:szCs w:val="22"/>
        </w:rPr>
      </w:pPr>
    </w:p>
    <w:p w:rsidR="0052434C" w:rsidRDefault="0052434C" w:rsidP="00690DBB">
      <w:pPr>
        <w:keepNext/>
        <w:keepLines/>
        <w:spacing w:line="360" w:lineRule="auto"/>
        <w:ind w:left="1080" w:hanging="1080"/>
        <w:jc w:val="both"/>
        <w:rPr>
          <w:rFonts w:ascii="Century Gothic" w:hAnsi="Century Gothic"/>
          <w:b/>
          <w:bCs/>
          <w:sz w:val="22"/>
          <w:szCs w:val="22"/>
        </w:rPr>
      </w:pPr>
      <w:r>
        <w:rPr>
          <w:rFonts w:ascii="Century Gothic" w:hAnsi="Century Gothic"/>
          <w:b/>
          <w:bCs/>
          <w:sz w:val="22"/>
          <w:szCs w:val="22"/>
        </w:rPr>
        <w:lastRenderedPageBreak/>
        <w:t xml:space="preserve">Article 17: </w:t>
      </w:r>
    </w:p>
    <w:p w:rsidR="00337C34" w:rsidRDefault="00A20E76" w:rsidP="00F63902">
      <w:pPr>
        <w:keepNext/>
        <w:keepLines/>
        <w:spacing w:line="360" w:lineRule="auto"/>
        <w:jc w:val="both"/>
        <w:rPr>
          <w:rFonts w:ascii="Century Gothic" w:hAnsi="Century Gothic"/>
          <w:sz w:val="22"/>
          <w:szCs w:val="22"/>
        </w:rPr>
      </w:pPr>
      <w:r>
        <w:rPr>
          <w:rFonts w:ascii="Century Gothic" w:hAnsi="Century Gothic"/>
          <w:sz w:val="22"/>
          <w:szCs w:val="22"/>
        </w:rPr>
        <w:t xml:space="preserve">The </w:t>
      </w:r>
      <w:r w:rsidR="00337C34">
        <w:rPr>
          <w:rFonts w:ascii="Century Gothic" w:hAnsi="Century Gothic"/>
          <w:sz w:val="22"/>
          <w:szCs w:val="22"/>
        </w:rPr>
        <w:t>purchase and sale of the commodities listed on the commodity exchange</w:t>
      </w:r>
      <w:r w:rsidR="00482178">
        <w:rPr>
          <w:rFonts w:ascii="Century Gothic" w:hAnsi="Century Gothic"/>
          <w:sz w:val="22"/>
          <w:szCs w:val="22"/>
        </w:rPr>
        <w:t>s</w:t>
      </w:r>
      <w:r w:rsidR="00337C34">
        <w:rPr>
          <w:rFonts w:ascii="Century Gothic" w:hAnsi="Century Gothic"/>
          <w:sz w:val="22"/>
          <w:szCs w:val="22"/>
        </w:rPr>
        <w:t xml:space="preserve"> </w:t>
      </w:r>
      <w:r w:rsidR="00482178">
        <w:rPr>
          <w:rFonts w:ascii="Century Gothic" w:hAnsi="Century Gothic"/>
          <w:sz w:val="22"/>
          <w:szCs w:val="22"/>
        </w:rPr>
        <w:t xml:space="preserve">which </w:t>
      </w:r>
      <w:r w:rsidR="00337C34">
        <w:rPr>
          <w:rFonts w:ascii="Century Gothic" w:hAnsi="Century Gothic"/>
          <w:sz w:val="22"/>
          <w:szCs w:val="22"/>
        </w:rPr>
        <w:t xml:space="preserve">are traded in compliance with the rules governing </w:t>
      </w:r>
      <w:r w:rsidR="00482178">
        <w:rPr>
          <w:rFonts w:ascii="Century Gothic" w:hAnsi="Century Gothic"/>
          <w:sz w:val="22"/>
          <w:szCs w:val="22"/>
        </w:rPr>
        <w:t xml:space="preserve">such </w:t>
      </w:r>
      <w:r w:rsidR="00337C34">
        <w:rPr>
          <w:rFonts w:ascii="Century Gothic" w:hAnsi="Century Gothic"/>
          <w:sz w:val="22"/>
          <w:szCs w:val="22"/>
        </w:rPr>
        <w:t xml:space="preserve">exchanges by the </w:t>
      </w:r>
      <w:r w:rsidR="00482178">
        <w:rPr>
          <w:rFonts w:ascii="Century Gothic" w:hAnsi="Century Gothic"/>
          <w:sz w:val="22"/>
          <w:szCs w:val="22"/>
        </w:rPr>
        <w:t>Ministries</w:t>
      </w:r>
      <w:r w:rsidR="00337C34">
        <w:rPr>
          <w:rFonts w:ascii="Century Gothic" w:hAnsi="Century Gothic"/>
          <w:sz w:val="22"/>
          <w:szCs w:val="22"/>
        </w:rPr>
        <w:t xml:space="preserve">, organizations, </w:t>
      </w:r>
      <w:r w:rsidR="00F63902">
        <w:rPr>
          <w:rFonts w:ascii="Century Gothic" w:hAnsi="Century Gothic"/>
          <w:sz w:val="22"/>
          <w:szCs w:val="22"/>
        </w:rPr>
        <w:t>institutions</w:t>
      </w:r>
      <w:r w:rsidR="00337C34">
        <w:rPr>
          <w:rFonts w:ascii="Century Gothic" w:hAnsi="Century Gothic"/>
          <w:sz w:val="22"/>
          <w:szCs w:val="22"/>
        </w:rPr>
        <w:t xml:space="preserve">, governmental and public establishments and executive agencies shall not </w:t>
      </w:r>
      <w:r w:rsidR="00482178">
        <w:rPr>
          <w:rFonts w:ascii="Century Gothic" w:hAnsi="Century Gothic"/>
          <w:sz w:val="22"/>
          <w:szCs w:val="22"/>
        </w:rPr>
        <w:t xml:space="preserve">require the offering of </w:t>
      </w:r>
      <w:r w:rsidR="00337C34">
        <w:rPr>
          <w:rFonts w:ascii="Century Gothic" w:hAnsi="Century Gothic"/>
          <w:sz w:val="22"/>
          <w:szCs w:val="22"/>
        </w:rPr>
        <w:t xml:space="preserve">tenders or </w:t>
      </w:r>
      <w:r w:rsidR="00A30A3E">
        <w:rPr>
          <w:rFonts w:ascii="Century Gothic" w:hAnsi="Century Gothic"/>
          <w:sz w:val="22"/>
          <w:szCs w:val="22"/>
        </w:rPr>
        <w:t xml:space="preserve">bids </w:t>
      </w:r>
      <w:r w:rsidR="00337C34">
        <w:rPr>
          <w:rFonts w:ascii="Century Gothic" w:hAnsi="Century Gothic"/>
          <w:sz w:val="22"/>
          <w:szCs w:val="22"/>
        </w:rPr>
        <w:t xml:space="preserve">and </w:t>
      </w:r>
      <w:r w:rsidR="00482178">
        <w:rPr>
          <w:rFonts w:ascii="Century Gothic" w:hAnsi="Century Gothic"/>
          <w:sz w:val="22"/>
          <w:szCs w:val="22"/>
        </w:rPr>
        <w:t xml:space="preserve">fulfillment of </w:t>
      </w:r>
      <w:r w:rsidR="00337C34">
        <w:rPr>
          <w:rFonts w:ascii="Century Gothic" w:hAnsi="Century Gothic"/>
          <w:sz w:val="22"/>
          <w:szCs w:val="22"/>
        </w:rPr>
        <w:t xml:space="preserve">the related formalities and procedures. </w:t>
      </w:r>
    </w:p>
    <w:p w:rsidR="0052434C" w:rsidRDefault="00337C34" w:rsidP="00337C34">
      <w:pPr>
        <w:spacing w:line="360" w:lineRule="auto"/>
        <w:jc w:val="both"/>
        <w:rPr>
          <w:rFonts w:ascii="Century Gothic" w:hAnsi="Century Gothic"/>
          <w:sz w:val="22"/>
          <w:szCs w:val="22"/>
        </w:rPr>
      </w:pPr>
      <w:r>
        <w:rPr>
          <w:rFonts w:ascii="Century Gothic" w:hAnsi="Century Gothic"/>
          <w:sz w:val="22"/>
          <w:szCs w:val="22"/>
        </w:rPr>
        <w:t xml:space="preserve"> </w:t>
      </w:r>
    </w:p>
    <w:p w:rsidR="0052434C" w:rsidRDefault="0052434C" w:rsidP="00337C34">
      <w:pPr>
        <w:spacing w:line="360" w:lineRule="auto"/>
        <w:ind w:left="1080" w:hanging="1080"/>
        <w:jc w:val="both"/>
        <w:rPr>
          <w:rFonts w:ascii="Century Gothic" w:hAnsi="Century Gothic"/>
          <w:b/>
          <w:bCs/>
          <w:sz w:val="22"/>
          <w:szCs w:val="22"/>
        </w:rPr>
      </w:pPr>
      <w:r>
        <w:rPr>
          <w:rFonts w:ascii="Century Gothic" w:hAnsi="Century Gothic"/>
          <w:b/>
          <w:bCs/>
          <w:sz w:val="22"/>
          <w:szCs w:val="22"/>
        </w:rPr>
        <w:t xml:space="preserve">Article </w:t>
      </w:r>
      <w:r w:rsidR="00337C34">
        <w:rPr>
          <w:rFonts w:ascii="Century Gothic" w:hAnsi="Century Gothic"/>
          <w:b/>
          <w:bCs/>
          <w:sz w:val="22"/>
          <w:szCs w:val="22"/>
        </w:rPr>
        <w:t>18</w:t>
      </w:r>
      <w:r>
        <w:rPr>
          <w:rFonts w:ascii="Century Gothic" w:hAnsi="Century Gothic"/>
          <w:b/>
          <w:bCs/>
          <w:sz w:val="22"/>
          <w:szCs w:val="22"/>
        </w:rPr>
        <w:t xml:space="preserve">: </w:t>
      </w:r>
    </w:p>
    <w:p w:rsidR="0052434C" w:rsidRDefault="00337C34" w:rsidP="00F63902">
      <w:pPr>
        <w:spacing w:line="360" w:lineRule="auto"/>
        <w:jc w:val="both"/>
        <w:rPr>
          <w:rFonts w:ascii="Century Gothic" w:hAnsi="Century Gothic"/>
          <w:sz w:val="22"/>
          <w:szCs w:val="22"/>
        </w:rPr>
      </w:pPr>
      <w:r>
        <w:rPr>
          <w:rFonts w:ascii="Century Gothic" w:hAnsi="Century Gothic"/>
          <w:sz w:val="22"/>
          <w:szCs w:val="22"/>
        </w:rPr>
        <w:t xml:space="preserve">The government shall have to exclude </w:t>
      </w:r>
      <w:r w:rsidR="00482178">
        <w:rPr>
          <w:rFonts w:ascii="Century Gothic" w:hAnsi="Century Gothic"/>
          <w:sz w:val="22"/>
          <w:szCs w:val="22"/>
        </w:rPr>
        <w:t>t</w:t>
      </w:r>
      <w:r>
        <w:rPr>
          <w:rFonts w:ascii="Century Gothic" w:hAnsi="Century Gothic"/>
          <w:sz w:val="22"/>
          <w:szCs w:val="22"/>
        </w:rPr>
        <w:t xml:space="preserve">he commodity listed on the exchange from the </w:t>
      </w:r>
      <w:r w:rsidR="00A30A3E">
        <w:rPr>
          <w:rFonts w:ascii="Century Gothic" w:hAnsi="Century Gothic"/>
          <w:sz w:val="22"/>
          <w:szCs w:val="22"/>
        </w:rPr>
        <w:t>pricing</w:t>
      </w:r>
      <w:r>
        <w:rPr>
          <w:rFonts w:ascii="Century Gothic" w:hAnsi="Century Gothic"/>
          <w:sz w:val="22"/>
          <w:szCs w:val="22"/>
        </w:rPr>
        <w:t xml:space="preserve"> system. </w:t>
      </w:r>
    </w:p>
    <w:p w:rsidR="00DD7D8F" w:rsidRDefault="00DD7D8F" w:rsidP="009055E8">
      <w:pPr>
        <w:spacing w:line="360" w:lineRule="auto"/>
        <w:ind w:left="720"/>
        <w:jc w:val="both"/>
        <w:rPr>
          <w:rFonts w:ascii="Century Gothic" w:hAnsi="Century Gothic"/>
          <w:b/>
          <w:bCs/>
          <w:sz w:val="22"/>
          <w:szCs w:val="22"/>
        </w:rPr>
      </w:pPr>
    </w:p>
    <w:p w:rsidR="009055E8" w:rsidRDefault="009055E8" w:rsidP="009055E8">
      <w:pPr>
        <w:spacing w:line="360" w:lineRule="auto"/>
        <w:ind w:left="720"/>
        <w:jc w:val="both"/>
        <w:rPr>
          <w:rFonts w:ascii="Century Gothic" w:hAnsi="Century Gothic"/>
          <w:sz w:val="22"/>
          <w:szCs w:val="22"/>
        </w:rPr>
      </w:pPr>
      <w:r>
        <w:rPr>
          <w:rFonts w:ascii="Century Gothic" w:hAnsi="Century Gothic"/>
          <w:b/>
          <w:bCs/>
          <w:sz w:val="22"/>
          <w:szCs w:val="22"/>
        </w:rPr>
        <w:t>Note</w:t>
      </w:r>
      <w:r w:rsidRPr="00CC48E4">
        <w:rPr>
          <w:rFonts w:ascii="Century Gothic" w:hAnsi="Century Gothic"/>
          <w:b/>
          <w:bCs/>
          <w:sz w:val="22"/>
          <w:szCs w:val="22"/>
        </w:rPr>
        <w:t>:</w:t>
      </w:r>
      <w:r>
        <w:rPr>
          <w:rFonts w:ascii="Century Gothic" w:hAnsi="Century Gothic"/>
          <w:sz w:val="22"/>
          <w:szCs w:val="22"/>
        </w:rPr>
        <w:t xml:space="preserve"> This article shall not apply to drugs. </w:t>
      </w:r>
    </w:p>
    <w:p w:rsidR="009055E8" w:rsidRDefault="009055E8" w:rsidP="009055E8">
      <w:pPr>
        <w:spacing w:line="360" w:lineRule="auto"/>
        <w:ind w:left="720"/>
        <w:jc w:val="both"/>
        <w:rPr>
          <w:rFonts w:ascii="Century Gothic" w:hAnsi="Century Gothic"/>
          <w:sz w:val="22"/>
          <w:szCs w:val="22"/>
        </w:rPr>
      </w:pPr>
    </w:p>
    <w:p w:rsidR="009055E8" w:rsidRDefault="009055E8" w:rsidP="00482178">
      <w:pPr>
        <w:spacing w:line="360" w:lineRule="auto"/>
        <w:ind w:left="720"/>
        <w:jc w:val="both"/>
        <w:rPr>
          <w:rFonts w:ascii="Century Gothic" w:hAnsi="Century Gothic"/>
          <w:sz w:val="22"/>
          <w:szCs w:val="22"/>
        </w:rPr>
      </w:pPr>
      <w:r>
        <w:rPr>
          <w:rFonts w:ascii="Century Gothic" w:hAnsi="Century Gothic"/>
          <w:sz w:val="22"/>
          <w:szCs w:val="22"/>
        </w:rPr>
        <w:t xml:space="preserve">This law comprising 18 articles and 7 notes was ratified </w:t>
      </w:r>
      <w:r w:rsidR="00482178">
        <w:rPr>
          <w:rFonts w:ascii="Century Gothic" w:hAnsi="Century Gothic"/>
          <w:sz w:val="22"/>
          <w:szCs w:val="22"/>
        </w:rPr>
        <w:t xml:space="preserve">at the open session of </w:t>
      </w:r>
      <w:r>
        <w:rPr>
          <w:rFonts w:ascii="Century Gothic" w:hAnsi="Century Gothic"/>
          <w:sz w:val="22"/>
          <w:szCs w:val="22"/>
        </w:rPr>
        <w:t xml:space="preserve">the parliament (Islamic Consultative Assembly) </w:t>
      </w:r>
      <w:r w:rsidR="00482178">
        <w:rPr>
          <w:rFonts w:ascii="Century Gothic" w:hAnsi="Century Gothic"/>
          <w:sz w:val="22"/>
          <w:szCs w:val="22"/>
        </w:rPr>
        <w:t>on Wednesday</w:t>
      </w:r>
      <w:r w:rsidR="0062494C">
        <w:rPr>
          <w:rFonts w:ascii="Century Gothic" w:hAnsi="Century Gothic"/>
          <w:sz w:val="22"/>
          <w:szCs w:val="22"/>
        </w:rPr>
        <w:t>,</w:t>
      </w:r>
      <w:r w:rsidR="00482178">
        <w:rPr>
          <w:rFonts w:ascii="Century Gothic" w:hAnsi="Century Gothic"/>
          <w:sz w:val="22"/>
          <w:szCs w:val="22"/>
        </w:rPr>
        <w:t xml:space="preserve"> Dec. 16, 2009</w:t>
      </w:r>
      <w:r w:rsidR="00695A7D">
        <w:rPr>
          <w:rFonts w:ascii="Century Gothic" w:hAnsi="Century Gothic"/>
          <w:sz w:val="22"/>
          <w:szCs w:val="22"/>
        </w:rPr>
        <w:t>.</w:t>
      </w:r>
    </w:p>
    <w:p w:rsidR="009055E8" w:rsidRDefault="009055E8" w:rsidP="009055E8">
      <w:pPr>
        <w:spacing w:line="360" w:lineRule="auto"/>
        <w:jc w:val="both"/>
        <w:rPr>
          <w:rFonts w:ascii="Century Gothic" w:hAnsi="Century Gothic"/>
          <w:b/>
          <w:bCs/>
          <w:sz w:val="22"/>
          <w:szCs w:val="22"/>
        </w:rPr>
      </w:pPr>
    </w:p>
    <w:p w:rsidR="00DB5B61" w:rsidRDefault="00DB5B61" w:rsidP="009055E8">
      <w:pPr>
        <w:spacing w:line="360" w:lineRule="auto"/>
        <w:jc w:val="both"/>
        <w:rPr>
          <w:rFonts w:ascii="Century Gothic" w:hAnsi="Century Gothic"/>
          <w:b/>
          <w:bCs/>
          <w:sz w:val="22"/>
          <w:szCs w:val="22"/>
        </w:rPr>
      </w:pPr>
    </w:p>
    <w:sectPr w:rsidR="00DB5B61" w:rsidSect="009816EF">
      <w:footerReference w:type="even" r:id="rId8"/>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6B2" w:rsidRDefault="004A26B2">
      <w:r>
        <w:separator/>
      </w:r>
    </w:p>
  </w:endnote>
  <w:endnote w:type="continuationSeparator" w:id="1">
    <w:p w:rsidR="004A26B2" w:rsidRDefault="004A26B2">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3B7" w:rsidRDefault="007873B7" w:rsidP="009816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73B7" w:rsidRDefault="007873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3B7" w:rsidRDefault="007873B7" w:rsidP="009816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532C">
      <w:rPr>
        <w:rStyle w:val="PageNumber"/>
        <w:noProof/>
      </w:rPr>
      <w:t>1</w:t>
    </w:r>
    <w:r>
      <w:rPr>
        <w:rStyle w:val="PageNumber"/>
      </w:rPr>
      <w:fldChar w:fldCharType="end"/>
    </w:r>
  </w:p>
  <w:p w:rsidR="007873B7" w:rsidRDefault="007873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6B2" w:rsidRDefault="004A26B2">
      <w:r>
        <w:separator/>
      </w:r>
    </w:p>
  </w:footnote>
  <w:footnote w:type="continuationSeparator" w:id="1">
    <w:p w:rsidR="004A26B2" w:rsidRDefault="004A26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50DA"/>
    <w:multiLevelType w:val="hybridMultilevel"/>
    <w:tmpl w:val="B51C7C22"/>
    <w:lvl w:ilvl="0" w:tplc="CA6C2C0A">
      <w:start w:val="1"/>
      <w:numFmt w:val="lowerLetter"/>
      <w:lvlText w:val="%1)"/>
      <w:lvlJc w:val="left"/>
      <w:pPr>
        <w:ind w:left="720" w:hanging="360"/>
      </w:pPr>
      <w:rPr>
        <w:rFonts w:ascii="Century Gothic" w:eastAsia="SimSu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92765"/>
    <w:multiLevelType w:val="hybridMultilevel"/>
    <w:tmpl w:val="47B0AE50"/>
    <w:lvl w:ilvl="0" w:tplc="BF2ED2D2">
      <w:start w:val="1"/>
      <w:numFmt w:val="lowerLetter"/>
      <w:lvlText w:val="%1-"/>
      <w:lvlJc w:val="left"/>
      <w:pPr>
        <w:tabs>
          <w:tab w:val="num" w:pos="1455"/>
        </w:tabs>
        <w:ind w:left="1455" w:hanging="375"/>
      </w:pPr>
      <w:rPr>
        <w:rFonts w:ascii="Century Gothic" w:eastAsia="SimSun" w:hAnsi="Century Gothic" w:cs="Times New Roman"/>
      </w:rPr>
    </w:lvl>
    <w:lvl w:ilvl="1" w:tplc="54D6E66C">
      <w:start w:val="1"/>
      <w:numFmt w:val="decimal"/>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6570C1D"/>
    <w:multiLevelType w:val="hybridMultilevel"/>
    <w:tmpl w:val="B51C7C22"/>
    <w:lvl w:ilvl="0" w:tplc="CA6C2C0A">
      <w:start w:val="1"/>
      <w:numFmt w:val="lowerLetter"/>
      <w:lvlText w:val="%1)"/>
      <w:lvlJc w:val="left"/>
      <w:pPr>
        <w:ind w:left="720" w:hanging="360"/>
      </w:pPr>
      <w:rPr>
        <w:rFonts w:ascii="Century Gothic" w:eastAsia="SimSu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0B2302"/>
    <w:multiLevelType w:val="hybridMultilevel"/>
    <w:tmpl w:val="0E52D68C"/>
    <w:lvl w:ilvl="0" w:tplc="8BF82FE0">
      <w:start w:val="1"/>
      <w:numFmt w:val="decimal"/>
      <w:lvlText w:val="%1)"/>
      <w:lvlJc w:val="left"/>
      <w:pPr>
        <w:tabs>
          <w:tab w:val="num" w:pos="2340"/>
        </w:tabs>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4DF04AA"/>
    <w:multiLevelType w:val="hybridMultilevel"/>
    <w:tmpl w:val="181EBE0E"/>
    <w:lvl w:ilvl="0" w:tplc="9CCCEEFE">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E70F01"/>
    <w:multiLevelType w:val="hybridMultilevel"/>
    <w:tmpl w:val="514AFBA4"/>
    <w:lvl w:ilvl="0" w:tplc="786076A0">
      <w:start w:val="1"/>
      <w:numFmt w:val="lowerLetter"/>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FB95491"/>
    <w:multiLevelType w:val="hybridMultilevel"/>
    <w:tmpl w:val="81B09F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7BD50E4"/>
    <w:multiLevelType w:val="hybridMultilevel"/>
    <w:tmpl w:val="EAFC86C0"/>
    <w:lvl w:ilvl="0" w:tplc="91782BF6">
      <w:start w:val="1"/>
      <w:numFmt w:val="upperLetter"/>
      <w:lvlText w:val="%1-"/>
      <w:lvlJc w:val="left"/>
      <w:pPr>
        <w:tabs>
          <w:tab w:val="num" w:pos="720"/>
        </w:tabs>
        <w:ind w:left="720" w:hanging="360"/>
      </w:pPr>
    </w:lvl>
    <w:lvl w:ilvl="1" w:tplc="EA14A65E">
      <w:start w:val="1"/>
      <w:numFmt w:val="decimal"/>
      <w:lvlText w:val="%2-"/>
      <w:lvlJc w:val="left"/>
      <w:pPr>
        <w:tabs>
          <w:tab w:val="num" w:pos="4140"/>
        </w:tabs>
        <w:ind w:left="41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B0B3775"/>
    <w:multiLevelType w:val="hybridMultilevel"/>
    <w:tmpl w:val="5EC8BB52"/>
    <w:lvl w:ilvl="0" w:tplc="678CF076">
      <w:start w:val="1"/>
      <w:numFmt w:val="decimal"/>
      <w:lvlText w:val="%1-"/>
      <w:lvlJc w:val="left"/>
      <w:pPr>
        <w:tabs>
          <w:tab w:val="num" w:pos="-180"/>
        </w:tabs>
        <w:ind w:left="-180" w:hanging="360"/>
      </w:pPr>
      <w:rPr>
        <w:rFonts w:hint="default"/>
        <w:b/>
        <w:sz w:val="20"/>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nsid w:val="53147567"/>
    <w:multiLevelType w:val="hybridMultilevel"/>
    <w:tmpl w:val="A55E7F6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2BA50C0"/>
    <w:multiLevelType w:val="hybridMultilevel"/>
    <w:tmpl w:val="673257B6"/>
    <w:lvl w:ilvl="0" w:tplc="3BEAD0AA">
      <w:start w:val="1"/>
      <w:numFmt w:val="lowerLetter"/>
      <w:lvlText w:val="%1)"/>
      <w:lvlJc w:val="left"/>
      <w:pPr>
        <w:ind w:left="720" w:hanging="360"/>
      </w:pPr>
      <w:rPr>
        <w:rFonts w:ascii="Century Gothic" w:eastAsia="SimSu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094479"/>
    <w:multiLevelType w:val="hybridMultilevel"/>
    <w:tmpl w:val="517C54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F100534"/>
    <w:multiLevelType w:val="hybridMultilevel"/>
    <w:tmpl w:val="7EC4C1F6"/>
    <w:lvl w:ilvl="0" w:tplc="8CA06926">
      <w:start w:val="1"/>
      <w:numFmt w:val="lowerLetter"/>
      <w:lvlText w:val="%1-"/>
      <w:lvlJc w:val="left"/>
      <w:pPr>
        <w:tabs>
          <w:tab w:val="num" w:pos="1440"/>
        </w:tabs>
        <w:ind w:left="1440" w:hanging="360"/>
      </w:pPr>
      <w:rPr>
        <w:rFonts w:ascii="Century Gothic" w:eastAsia="SimSun" w:hAnsi="Century Gothic"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50926C4"/>
    <w:multiLevelType w:val="hybridMultilevel"/>
    <w:tmpl w:val="9C7CB70C"/>
    <w:lvl w:ilvl="0" w:tplc="F8E875BC">
      <w:start w:val="1"/>
      <w:numFmt w:val="lowerLetter"/>
      <w:lvlText w:val="%1-"/>
      <w:lvlJc w:val="left"/>
      <w:pPr>
        <w:tabs>
          <w:tab w:val="num" w:pos="720"/>
        </w:tabs>
        <w:ind w:left="720" w:hanging="360"/>
      </w:pPr>
      <w:rPr>
        <w:rFonts w:ascii="Century Gothic" w:eastAsia="Times New Roman" w:hAnsi="Century Gothic" w:cs="Times New Roman" w:hint="default"/>
      </w:rPr>
    </w:lvl>
    <w:lvl w:ilvl="1" w:tplc="80581F18">
      <w:start w:val="1"/>
      <w:numFmt w:val="decimal"/>
      <w:lvlText w:val="%2."/>
      <w:lvlJc w:val="left"/>
      <w:pPr>
        <w:tabs>
          <w:tab w:val="num" w:pos="1260"/>
        </w:tabs>
        <w:ind w:left="1260" w:hanging="360"/>
      </w:pPr>
    </w:lvl>
    <w:lvl w:ilvl="2" w:tplc="59F204F2">
      <w:start w:val="1"/>
      <w:numFmt w:val="lowerLetter"/>
      <w:lvlText w:val="%3)"/>
      <w:lvlJc w:val="left"/>
      <w:pPr>
        <w:tabs>
          <w:tab w:val="num" w:pos="2340"/>
        </w:tabs>
        <w:ind w:left="2340" w:hanging="360"/>
      </w:pPr>
      <w:rPr>
        <w:rFonts w:ascii="Century Gothic" w:eastAsia="Times New Roman" w:hAnsi="Century Gothic" w:cs="Times New Roman" w:hint="default"/>
      </w:rPr>
    </w:lvl>
    <w:lvl w:ilvl="3" w:tplc="F47A83D8">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10"/>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DB5B61"/>
    <w:rsid w:val="000054ED"/>
    <w:rsid w:val="00012AA2"/>
    <w:rsid w:val="00015741"/>
    <w:rsid w:val="000249E8"/>
    <w:rsid w:val="000352FD"/>
    <w:rsid w:val="00036D03"/>
    <w:rsid w:val="000373DA"/>
    <w:rsid w:val="00046B9A"/>
    <w:rsid w:val="00050278"/>
    <w:rsid w:val="00051C2C"/>
    <w:rsid w:val="00054003"/>
    <w:rsid w:val="00054E24"/>
    <w:rsid w:val="00055B03"/>
    <w:rsid w:val="0005779E"/>
    <w:rsid w:val="00061BF5"/>
    <w:rsid w:val="00061F87"/>
    <w:rsid w:val="000672E9"/>
    <w:rsid w:val="0007498A"/>
    <w:rsid w:val="00077AE7"/>
    <w:rsid w:val="0008638D"/>
    <w:rsid w:val="00093FC9"/>
    <w:rsid w:val="00094EC6"/>
    <w:rsid w:val="000968A7"/>
    <w:rsid w:val="000A4F97"/>
    <w:rsid w:val="000A54A8"/>
    <w:rsid w:val="000A56A6"/>
    <w:rsid w:val="000A6A94"/>
    <w:rsid w:val="000A71BC"/>
    <w:rsid w:val="000A7CF9"/>
    <w:rsid w:val="000B3942"/>
    <w:rsid w:val="000B3CED"/>
    <w:rsid w:val="000C0607"/>
    <w:rsid w:val="000D17B1"/>
    <w:rsid w:val="000D518E"/>
    <w:rsid w:val="000E2325"/>
    <w:rsid w:val="000E56E2"/>
    <w:rsid w:val="001025E2"/>
    <w:rsid w:val="00123AD9"/>
    <w:rsid w:val="00130482"/>
    <w:rsid w:val="00131346"/>
    <w:rsid w:val="00136BFF"/>
    <w:rsid w:val="00136E1E"/>
    <w:rsid w:val="0014055C"/>
    <w:rsid w:val="00142751"/>
    <w:rsid w:val="001510EB"/>
    <w:rsid w:val="00151204"/>
    <w:rsid w:val="00164B54"/>
    <w:rsid w:val="001829B5"/>
    <w:rsid w:val="00184D50"/>
    <w:rsid w:val="00186550"/>
    <w:rsid w:val="00192C0F"/>
    <w:rsid w:val="0019416E"/>
    <w:rsid w:val="00194F58"/>
    <w:rsid w:val="001A00C1"/>
    <w:rsid w:val="001A3949"/>
    <w:rsid w:val="001A6DE6"/>
    <w:rsid w:val="001A7643"/>
    <w:rsid w:val="001B0DB9"/>
    <w:rsid w:val="001B2D8D"/>
    <w:rsid w:val="001B453E"/>
    <w:rsid w:val="001B61CC"/>
    <w:rsid w:val="001C103A"/>
    <w:rsid w:val="001E46C8"/>
    <w:rsid w:val="001E6A19"/>
    <w:rsid w:val="002116B7"/>
    <w:rsid w:val="00212955"/>
    <w:rsid w:val="00217746"/>
    <w:rsid w:val="00217ECC"/>
    <w:rsid w:val="0022512C"/>
    <w:rsid w:val="00225677"/>
    <w:rsid w:val="002325AA"/>
    <w:rsid w:val="0023354D"/>
    <w:rsid w:val="002339A4"/>
    <w:rsid w:val="002411F2"/>
    <w:rsid w:val="002421D9"/>
    <w:rsid w:val="002531F6"/>
    <w:rsid w:val="00262F34"/>
    <w:rsid w:val="00272FF3"/>
    <w:rsid w:val="00275909"/>
    <w:rsid w:val="00276053"/>
    <w:rsid w:val="00276442"/>
    <w:rsid w:val="00286ADD"/>
    <w:rsid w:val="0029332C"/>
    <w:rsid w:val="002A703C"/>
    <w:rsid w:val="002B0A86"/>
    <w:rsid w:val="002C49D3"/>
    <w:rsid w:val="002C4CB8"/>
    <w:rsid w:val="002C4F1E"/>
    <w:rsid w:val="002E289D"/>
    <w:rsid w:val="002E28DD"/>
    <w:rsid w:val="002E7E1B"/>
    <w:rsid w:val="00310D58"/>
    <w:rsid w:val="00324512"/>
    <w:rsid w:val="00324A96"/>
    <w:rsid w:val="003257BF"/>
    <w:rsid w:val="003306AE"/>
    <w:rsid w:val="00333AC5"/>
    <w:rsid w:val="00337C34"/>
    <w:rsid w:val="003472AC"/>
    <w:rsid w:val="00347413"/>
    <w:rsid w:val="003548A7"/>
    <w:rsid w:val="00364282"/>
    <w:rsid w:val="00372D75"/>
    <w:rsid w:val="00373787"/>
    <w:rsid w:val="003767BB"/>
    <w:rsid w:val="00390B75"/>
    <w:rsid w:val="0039635D"/>
    <w:rsid w:val="003A4095"/>
    <w:rsid w:val="003B15C7"/>
    <w:rsid w:val="003B256A"/>
    <w:rsid w:val="003C08F6"/>
    <w:rsid w:val="003D106A"/>
    <w:rsid w:val="003D1B25"/>
    <w:rsid w:val="003D5C8A"/>
    <w:rsid w:val="003E0DC6"/>
    <w:rsid w:val="003F15F2"/>
    <w:rsid w:val="003F2EE0"/>
    <w:rsid w:val="003F5E3A"/>
    <w:rsid w:val="003F616F"/>
    <w:rsid w:val="00404CB4"/>
    <w:rsid w:val="00404CD7"/>
    <w:rsid w:val="0040764D"/>
    <w:rsid w:val="004077E9"/>
    <w:rsid w:val="00410CC0"/>
    <w:rsid w:val="00434907"/>
    <w:rsid w:val="00443CA2"/>
    <w:rsid w:val="00452093"/>
    <w:rsid w:val="00456A3B"/>
    <w:rsid w:val="00456DAB"/>
    <w:rsid w:val="004572A0"/>
    <w:rsid w:val="00463AD0"/>
    <w:rsid w:val="00466D17"/>
    <w:rsid w:val="00471FD0"/>
    <w:rsid w:val="00472671"/>
    <w:rsid w:val="00482178"/>
    <w:rsid w:val="00486B25"/>
    <w:rsid w:val="00486FF3"/>
    <w:rsid w:val="0049483A"/>
    <w:rsid w:val="00495C23"/>
    <w:rsid w:val="004A1C2E"/>
    <w:rsid w:val="004A26B2"/>
    <w:rsid w:val="004B0459"/>
    <w:rsid w:val="004B6111"/>
    <w:rsid w:val="004C0DBE"/>
    <w:rsid w:val="004C1240"/>
    <w:rsid w:val="004C59F4"/>
    <w:rsid w:val="004E2BBA"/>
    <w:rsid w:val="004E5E76"/>
    <w:rsid w:val="004F7A6F"/>
    <w:rsid w:val="005042F8"/>
    <w:rsid w:val="0050490B"/>
    <w:rsid w:val="005073DF"/>
    <w:rsid w:val="00510265"/>
    <w:rsid w:val="00517665"/>
    <w:rsid w:val="005224EB"/>
    <w:rsid w:val="0052354D"/>
    <w:rsid w:val="0052434C"/>
    <w:rsid w:val="005275F8"/>
    <w:rsid w:val="00537E03"/>
    <w:rsid w:val="00541D5F"/>
    <w:rsid w:val="005502E5"/>
    <w:rsid w:val="00562163"/>
    <w:rsid w:val="005705D1"/>
    <w:rsid w:val="00571693"/>
    <w:rsid w:val="00572A61"/>
    <w:rsid w:val="00574D5F"/>
    <w:rsid w:val="00590B9A"/>
    <w:rsid w:val="00590D50"/>
    <w:rsid w:val="005A26B7"/>
    <w:rsid w:val="005A58DE"/>
    <w:rsid w:val="005A6F83"/>
    <w:rsid w:val="005B565F"/>
    <w:rsid w:val="005B7A72"/>
    <w:rsid w:val="005C04D8"/>
    <w:rsid w:val="005D6D38"/>
    <w:rsid w:val="005E2B6C"/>
    <w:rsid w:val="005E49F1"/>
    <w:rsid w:val="005F4259"/>
    <w:rsid w:val="006025BB"/>
    <w:rsid w:val="00615829"/>
    <w:rsid w:val="006210AF"/>
    <w:rsid w:val="00622668"/>
    <w:rsid w:val="0062494C"/>
    <w:rsid w:val="00633E30"/>
    <w:rsid w:val="006369A6"/>
    <w:rsid w:val="00640D55"/>
    <w:rsid w:val="006418BE"/>
    <w:rsid w:val="00641C90"/>
    <w:rsid w:val="00641F88"/>
    <w:rsid w:val="0064622A"/>
    <w:rsid w:val="00660BE4"/>
    <w:rsid w:val="00667967"/>
    <w:rsid w:val="006717C4"/>
    <w:rsid w:val="00690DBB"/>
    <w:rsid w:val="00695A7D"/>
    <w:rsid w:val="00696EBA"/>
    <w:rsid w:val="006B1204"/>
    <w:rsid w:val="006B5C6B"/>
    <w:rsid w:val="006B785B"/>
    <w:rsid w:val="006C0F72"/>
    <w:rsid w:val="006C2D8B"/>
    <w:rsid w:val="006C4664"/>
    <w:rsid w:val="006C50DD"/>
    <w:rsid w:val="006C6CBF"/>
    <w:rsid w:val="006D2D80"/>
    <w:rsid w:val="006D5192"/>
    <w:rsid w:val="006D647E"/>
    <w:rsid w:val="006E151F"/>
    <w:rsid w:val="006E1F05"/>
    <w:rsid w:val="006E47DD"/>
    <w:rsid w:val="006E50E5"/>
    <w:rsid w:val="006E521E"/>
    <w:rsid w:val="006E532C"/>
    <w:rsid w:val="006F439F"/>
    <w:rsid w:val="006F5C1F"/>
    <w:rsid w:val="00706758"/>
    <w:rsid w:val="007154F2"/>
    <w:rsid w:val="00716279"/>
    <w:rsid w:val="00716905"/>
    <w:rsid w:val="007271C1"/>
    <w:rsid w:val="00727AA7"/>
    <w:rsid w:val="007322DE"/>
    <w:rsid w:val="00733E7A"/>
    <w:rsid w:val="00734613"/>
    <w:rsid w:val="00743CF9"/>
    <w:rsid w:val="00743EB6"/>
    <w:rsid w:val="00744673"/>
    <w:rsid w:val="00754D24"/>
    <w:rsid w:val="007608E7"/>
    <w:rsid w:val="007612F5"/>
    <w:rsid w:val="007637E7"/>
    <w:rsid w:val="00774897"/>
    <w:rsid w:val="00777367"/>
    <w:rsid w:val="0078362D"/>
    <w:rsid w:val="007873B7"/>
    <w:rsid w:val="0079685A"/>
    <w:rsid w:val="007A43A3"/>
    <w:rsid w:val="007A54E9"/>
    <w:rsid w:val="007A6591"/>
    <w:rsid w:val="007A6FBB"/>
    <w:rsid w:val="007C3E37"/>
    <w:rsid w:val="007C6EAA"/>
    <w:rsid w:val="007D083B"/>
    <w:rsid w:val="007E21FE"/>
    <w:rsid w:val="007E5012"/>
    <w:rsid w:val="007F3248"/>
    <w:rsid w:val="007F4739"/>
    <w:rsid w:val="00801271"/>
    <w:rsid w:val="008017C3"/>
    <w:rsid w:val="00813D13"/>
    <w:rsid w:val="00814323"/>
    <w:rsid w:val="00822348"/>
    <w:rsid w:val="0083011B"/>
    <w:rsid w:val="00835559"/>
    <w:rsid w:val="008371CC"/>
    <w:rsid w:val="0085102A"/>
    <w:rsid w:val="00852893"/>
    <w:rsid w:val="0085465B"/>
    <w:rsid w:val="00857E17"/>
    <w:rsid w:val="008620C3"/>
    <w:rsid w:val="00867500"/>
    <w:rsid w:val="008707E5"/>
    <w:rsid w:val="008711EE"/>
    <w:rsid w:val="0088095D"/>
    <w:rsid w:val="008827AD"/>
    <w:rsid w:val="00890105"/>
    <w:rsid w:val="00897CFA"/>
    <w:rsid w:val="008A0519"/>
    <w:rsid w:val="008A3926"/>
    <w:rsid w:val="008A54CA"/>
    <w:rsid w:val="008A6347"/>
    <w:rsid w:val="008C4B75"/>
    <w:rsid w:val="008C5CC9"/>
    <w:rsid w:val="008C5EB6"/>
    <w:rsid w:val="008D4410"/>
    <w:rsid w:val="008D7A65"/>
    <w:rsid w:val="008E5396"/>
    <w:rsid w:val="008E67B1"/>
    <w:rsid w:val="008F13EB"/>
    <w:rsid w:val="00900FB6"/>
    <w:rsid w:val="009046A4"/>
    <w:rsid w:val="009055E8"/>
    <w:rsid w:val="0091137E"/>
    <w:rsid w:val="0091295F"/>
    <w:rsid w:val="00922588"/>
    <w:rsid w:val="0092796E"/>
    <w:rsid w:val="0095614C"/>
    <w:rsid w:val="00967357"/>
    <w:rsid w:val="00980085"/>
    <w:rsid w:val="009816EF"/>
    <w:rsid w:val="00987EA0"/>
    <w:rsid w:val="00990EF6"/>
    <w:rsid w:val="00997F7C"/>
    <w:rsid w:val="009A1081"/>
    <w:rsid w:val="009A2A36"/>
    <w:rsid w:val="009A4C34"/>
    <w:rsid w:val="009B209A"/>
    <w:rsid w:val="009C7681"/>
    <w:rsid w:val="009E374C"/>
    <w:rsid w:val="009E7A2A"/>
    <w:rsid w:val="009E7CC4"/>
    <w:rsid w:val="009F4693"/>
    <w:rsid w:val="009F634E"/>
    <w:rsid w:val="00A030DF"/>
    <w:rsid w:val="00A0475D"/>
    <w:rsid w:val="00A06543"/>
    <w:rsid w:val="00A07520"/>
    <w:rsid w:val="00A20E76"/>
    <w:rsid w:val="00A20F05"/>
    <w:rsid w:val="00A30A3E"/>
    <w:rsid w:val="00A30BEB"/>
    <w:rsid w:val="00A3374A"/>
    <w:rsid w:val="00A41980"/>
    <w:rsid w:val="00A52038"/>
    <w:rsid w:val="00A53D81"/>
    <w:rsid w:val="00A57A7B"/>
    <w:rsid w:val="00A6716E"/>
    <w:rsid w:val="00A67F54"/>
    <w:rsid w:val="00A765D4"/>
    <w:rsid w:val="00A778E1"/>
    <w:rsid w:val="00A80840"/>
    <w:rsid w:val="00A91921"/>
    <w:rsid w:val="00A94F3E"/>
    <w:rsid w:val="00A951C6"/>
    <w:rsid w:val="00A97E6C"/>
    <w:rsid w:val="00AA13AF"/>
    <w:rsid w:val="00AA3225"/>
    <w:rsid w:val="00AB5CB1"/>
    <w:rsid w:val="00AB732E"/>
    <w:rsid w:val="00AD2714"/>
    <w:rsid w:val="00AD46CD"/>
    <w:rsid w:val="00AE1B16"/>
    <w:rsid w:val="00AF015A"/>
    <w:rsid w:val="00AF37C5"/>
    <w:rsid w:val="00AF5AC6"/>
    <w:rsid w:val="00AF60C6"/>
    <w:rsid w:val="00B0265D"/>
    <w:rsid w:val="00B03304"/>
    <w:rsid w:val="00B0506B"/>
    <w:rsid w:val="00B05B44"/>
    <w:rsid w:val="00B06859"/>
    <w:rsid w:val="00B243E7"/>
    <w:rsid w:val="00B349DA"/>
    <w:rsid w:val="00B3745D"/>
    <w:rsid w:val="00B420D3"/>
    <w:rsid w:val="00B4274D"/>
    <w:rsid w:val="00B52C1E"/>
    <w:rsid w:val="00B61B8C"/>
    <w:rsid w:val="00B627EF"/>
    <w:rsid w:val="00B73746"/>
    <w:rsid w:val="00B7459A"/>
    <w:rsid w:val="00B822FD"/>
    <w:rsid w:val="00B84965"/>
    <w:rsid w:val="00B97D56"/>
    <w:rsid w:val="00BA085A"/>
    <w:rsid w:val="00BA2ECE"/>
    <w:rsid w:val="00BA34B9"/>
    <w:rsid w:val="00BB5950"/>
    <w:rsid w:val="00BD10CB"/>
    <w:rsid w:val="00BD1CE5"/>
    <w:rsid w:val="00BE4193"/>
    <w:rsid w:val="00BE644D"/>
    <w:rsid w:val="00BF0408"/>
    <w:rsid w:val="00BF0C2A"/>
    <w:rsid w:val="00BF6E31"/>
    <w:rsid w:val="00BF7150"/>
    <w:rsid w:val="00BF79CC"/>
    <w:rsid w:val="00C04810"/>
    <w:rsid w:val="00C10223"/>
    <w:rsid w:val="00C26E5A"/>
    <w:rsid w:val="00C31736"/>
    <w:rsid w:val="00C41161"/>
    <w:rsid w:val="00C51CDE"/>
    <w:rsid w:val="00C57E1D"/>
    <w:rsid w:val="00C67CDB"/>
    <w:rsid w:val="00C75AB9"/>
    <w:rsid w:val="00C80885"/>
    <w:rsid w:val="00C8090A"/>
    <w:rsid w:val="00C85E0F"/>
    <w:rsid w:val="00C87393"/>
    <w:rsid w:val="00C87BA1"/>
    <w:rsid w:val="00C96BFD"/>
    <w:rsid w:val="00CB3A55"/>
    <w:rsid w:val="00CC2143"/>
    <w:rsid w:val="00CC39B7"/>
    <w:rsid w:val="00CC48E4"/>
    <w:rsid w:val="00CD405E"/>
    <w:rsid w:val="00CE2F79"/>
    <w:rsid w:val="00CE3332"/>
    <w:rsid w:val="00CF222C"/>
    <w:rsid w:val="00D0542A"/>
    <w:rsid w:val="00D05F52"/>
    <w:rsid w:val="00D07BF6"/>
    <w:rsid w:val="00D130BC"/>
    <w:rsid w:val="00D165D6"/>
    <w:rsid w:val="00D235EF"/>
    <w:rsid w:val="00D266C8"/>
    <w:rsid w:val="00D31907"/>
    <w:rsid w:val="00D32118"/>
    <w:rsid w:val="00D4241D"/>
    <w:rsid w:val="00D520FB"/>
    <w:rsid w:val="00D52E26"/>
    <w:rsid w:val="00D543B3"/>
    <w:rsid w:val="00D64019"/>
    <w:rsid w:val="00D6537B"/>
    <w:rsid w:val="00D765E4"/>
    <w:rsid w:val="00D945B1"/>
    <w:rsid w:val="00DA7E56"/>
    <w:rsid w:val="00DB27BF"/>
    <w:rsid w:val="00DB5B61"/>
    <w:rsid w:val="00DC778E"/>
    <w:rsid w:val="00DD7D8F"/>
    <w:rsid w:val="00DE06DF"/>
    <w:rsid w:val="00DE258B"/>
    <w:rsid w:val="00DF52EE"/>
    <w:rsid w:val="00E06638"/>
    <w:rsid w:val="00E072C2"/>
    <w:rsid w:val="00E20176"/>
    <w:rsid w:val="00E20700"/>
    <w:rsid w:val="00E21BAB"/>
    <w:rsid w:val="00E227BF"/>
    <w:rsid w:val="00E24992"/>
    <w:rsid w:val="00E26897"/>
    <w:rsid w:val="00E440A8"/>
    <w:rsid w:val="00E50AAB"/>
    <w:rsid w:val="00E573CE"/>
    <w:rsid w:val="00E5768E"/>
    <w:rsid w:val="00E67266"/>
    <w:rsid w:val="00EA0FDC"/>
    <w:rsid w:val="00EA288A"/>
    <w:rsid w:val="00EA6FED"/>
    <w:rsid w:val="00EA7624"/>
    <w:rsid w:val="00EB0CF8"/>
    <w:rsid w:val="00EC22CE"/>
    <w:rsid w:val="00EF049A"/>
    <w:rsid w:val="00EF42CD"/>
    <w:rsid w:val="00EF7C89"/>
    <w:rsid w:val="00F016D5"/>
    <w:rsid w:val="00F04484"/>
    <w:rsid w:val="00F067D8"/>
    <w:rsid w:val="00F16E3F"/>
    <w:rsid w:val="00F225FD"/>
    <w:rsid w:val="00F26312"/>
    <w:rsid w:val="00F34EA8"/>
    <w:rsid w:val="00F3611E"/>
    <w:rsid w:val="00F4443B"/>
    <w:rsid w:val="00F576AA"/>
    <w:rsid w:val="00F60424"/>
    <w:rsid w:val="00F63902"/>
    <w:rsid w:val="00FA21EB"/>
    <w:rsid w:val="00FB0AFE"/>
    <w:rsid w:val="00FB32E5"/>
    <w:rsid w:val="00FB5A0F"/>
    <w:rsid w:val="00FC19FB"/>
    <w:rsid w:val="00FC2BA7"/>
    <w:rsid w:val="00FC4CEB"/>
    <w:rsid w:val="00FC5420"/>
    <w:rsid w:val="00FD2DA5"/>
    <w:rsid w:val="00FD3456"/>
    <w:rsid w:val="00FE62F7"/>
    <w:rsid w:val="00FE6A95"/>
    <w:rsid w:val="00FF58D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B61"/>
    <w:rPr>
      <w:sz w:val="24"/>
      <w:szCs w:val="24"/>
      <w:lang w:eastAsia="zh-CN"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9816EF"/>
    <w:pPr>
      <w:tabs>
        <w:tab w:val="center" w:pos="4320"/>
        <w:tab w:val="right" w:pos="8640"/>
      </w:tabs>
    </w:pPr>
  </w:style>
  <w:style w:type="character" w:styleId="PageNumber">
    <w:name w:val="page number"/>
    <w:basedOn w:val="DefaultParagraphFont"/>
    <w:rsid w:val="009816EF"/>
  </w:style>
  <w:style w:type="table" w:styleId="TableGrid">
    <w:name w:val="Table Grid"/>
    <w:basedOn w:val="TableNormal"/>
    <w:rsid w:val="006E5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70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EE735-A01F-41E4-8DA0-6EEA07BC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Securities and Exchange Organization </vt:lpstr>
    </vt:vector>
  </TitlesOfParts>
  <Company/>
  <LinksUpToDate>false</LinksUpToDate>
  <CharactersWithSpaces>16117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Securities and Exchange Organization </dc:title>
  <dc:subject/>
  <dc:creator>khj</dc:creator>
  <cp:keywords/>
  <dc:description/>
  <cp:lastModifiedBy>m-nejaty</cp:lastModifiedBy>
  <cp:revision>2</cp:revision>
  <cp:lastPrinted>2010-01-19T10:13:00Z</cp:lastPrinted>
  <dcterms:created xsi:type="dcterms:W3CDTF">2015-11-17T14:19:00Z</dcterms:created>
  <dcterms:modified xsi:type="dcterms:W3CDTF">2015-11-17T14:19:00Z</dcterms:modified>
</cp:coreProperties>
</file>